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205" w:rsidRPr="00DC5989" w:rsidRDefault="00581205" w:rsidP="00AE7044">
      <w:pPr>
        <w:pStyle w:val="Textoindependiente3"/>
        <w:ind w:left="709" w:hanging="709"/>
        <w:rPr>
          <w:rFonts w:ascii="Arial" w:hAnsi="Arial" w:cs="Arial"/>
          <w:sz w:val="22"/>
          <w:szCs w:val="22"/>
        </w:rPr>
      </w:pPr>
    </w:p>
    <w:p w:rsidR="00A85E8D" w:rsidRPr="00DC5989" w:rsidRDefault="00A85E8D" w:rsidP="004748F6">
      <w:pPr>
        <w:pStyle w:val="Textoindependiente3"/>
        <w:rPr>
          <w:rFonts w:ascii="Arial" w:hAnsi="Arial" w:cs="Arial"/>
          <w:sz w:val="22"/>
          <w:szCs w:val="22"/>
        </w:rPr>
      </w:pPr>
    </w:p>
    <w:p w:rsidR="00A85E8D" w:rsidRPr="00DC5989" w:rsidRDefault="00A85E8D" w:rsidP="00581205">
      <w:pPr>
        <w:pStyle w:val="Textoindependiente3"/>
        <w:ind w:left="-284"/>
        <w:rPr>
          <w:rFonts w:ascii="Arial" w:hAnsi="Arial" w:cs="Arial"/>
          <w:sz w:val="22"/>
          <w:szCs w:val="22"/>
        </w:rPr>
        <w:sectPr w:rsidR="00A85E8D" w:rsidRPr="00DC5989" w:rsidSect="008F758C">
          <w:headerReference w:type="default" r:id="rId8"/>
          <w:footerReference w:type="default" r:id="rId9"/>
          <w:headerReference w:type="first" r:id="rId10"/>
          <w:footerReference w:type="first" r:id="rId11"/>
          <w:type w:val="continuous"/>
          <w:pgSz w:w="11907" w:h="16840"/>
          <w:pgMar w:top="2127" w:right="5103" w:bottom="1418" w:left="4962" w:header="720" w:footer="801" w:gutter="0"/>
          <w:cols w:space="720"/>
          <w:titlePg/>
        </w:sectPr>
      </w:pPr>
    </w:p>
    <w:p w:rsidR="00627916" w:rsidRPr="00DC5989" w:rsidRDefault="00627916" w:rsidP="00627916">
      <w:pPr>
        <w:spacing w:line="276" w:lineRule="auto"/>
        <w:jc w:val="both"/>
        <w:rPr>
          <w:rFonts w:ascii="Arial" w:eastAsia="Calibri" w:hAnsi="Arial" w:cs="Arial"/>
          <w:sz w:val="22"/>
          <w:szCs w:val="22"/>
        </w:rPr>
      </w:pPr>
      <w:r w:rsidRPr="00DC5989">
        <w:rPr>
          <w:rFonts w:ascii="Arial" w:hAnsi="Arial" w:cs="Arial"/>
          <w:b/>
          <w:sz w:val="22"/>
          <w:szCs w:val="22"/>
        </w:rPr>
        <w:t xml:space="preserve">ORDEN de la </w:t>
      </w:r>
      <w:r w:rsidR="00926311" w:rsidRPr="00DC5989">
        <w:rPr>
          <w:rFonts w:ascii="Arial" w:hAnsi="Arial" w:cs="Arial"/>
          <w:b/>
          <w:sz w:val="22"/>
          <w:szCs w:val="22"/>
        </w:rPr>
        <w:t xml:space="preserve">Vicelehendakari Segunda y </w:t>
      </w:r>
      <w:r w:rsidRPr="00DC5989">
        <w:rPr>
          <w:rFonts w:ascii="Arial" w:hAnsi="Arial" w:cs="Arial"/>
          <w:b/>
          <w:sz w:val="22"/>
          <w:szCs w:val="22"/>
        </w:rPr>
        <w:t xml:space="preserve">Consejera de Trabajo y Empleo, por la que se inicia el procedimiento de elaboración del Proyecto de Decreto de modificación del Reglamento de organización y </w:t>
      </w:r>
      <w:r w:rsidR="002109AF">
        <w:rPr>
          <w:rFonts w:ascii="Arial" w:hAnsi="Arial" w:cs="Arial"/>
          <w:b/>
          <w:sz w:val="22"/>
          <w:szCs w:val="22"/>
        </w:rPr>
        <w:t>funcionamiento del Registro de A</w:t>
      </w:r>
      <w:r w:rsidRPr="00DC5989">
        <w:rPr>
          <w:rFonts w:ascii="Arial" w:hAnsi="Arial" w:cs="Arial"/>
          <w:b/>
          <w:sz w:val="22"/>
          <w:szCs w:val="22"/>
        </w:rPr>
        <w:t>sociac</w:t>
      </w:r>
      <w:r w:rsidR="002109AF">
        <w:rPr>
          <w:rFonts w:ascii="Arial" w:hAnsi="Arial" w:cs="Arial"/>
          <w:b/>
          <w:sz w:val="22"/>
          <w:szCs w:val="22"/>
        </w:rPr>
        <w:t>iones Profesionales de Personas Trabajadoras A</w:t>
      </w:r>
      <w:bookmarkStart w:id="0" w:name="_GoBack"/>
      <w:bookmarkEnd w:id="0"/>
      <w:r w:rsidRPr="00DC5989">
        <w:rPr>
          <w:rFonts w:ascii="Arial" w:hAnsi="Arial" w:cs="Arial"/>
          <w:b/>
          <w:sz w:val="22"/>
          <w:szCs w:val="22"/>
        </w:rPr>
        <w:t>utónomas de Euskadi</w:t>
      </w:r>
      <w:r w:rsidR="00E41909" w:rsidRPr="00DC5989">
        <w:rPr>
          <w:rFonts w:ascii="Arial" w:hAnsi="Arial" w:cs="Arial"/>
          <w:b/>
          <w:sz w:val="22"/>
          <w:szCs w:val="22"/>
        </w:rPr>
        <w:t>, aprobado por el Decreto 181/2021, de 20 de julio.</w:t>
      </w:r>
    </w:p>
    <w:p w:rsidR="00627916" w:rsidRPr="00DC5989" w:rsidRDefault="00627916" w:rsidP="00627916">
      <w:pPr>
        <w:spacing w:line="276" w:lineRule="auto"/>
        <w:jc w:val="both"/>
        <w:rPr>
          <w:rFonts w:ascii="Arial" w:eastAsia="Arial" w:hAnsi="Arial" w:cs="Arial"/>
          <w:spacing w:val="-1"/>
          <w:sz w:val="22"/>
          <w:szCs w:val="22"/>
        </w:rPr>
      </w:pPr>
    </w:p>
    <w:p w:rsidR="00627916" w:rsidRPr="00DC5989" w:rsidRDefault="00627916"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De conformidad con los artículos 2 y 3 de la Ley 6/2022, de 30 de junio, del Procedimiento de Elaboración de las Di</w:t>
      </w:r>
      <w:r w:rsidR="00D718C6" w:rsidRPr="00DC5989">
        <w:rPr>
          <w:rFonts w:ascii="Arial" w:eastAsia="Arial" w:hAnsi="Arial" w:cs="Arial"/>
          <w:spacing w:val="-1"/>
          <w:sz w:val="22"/>
          <w:szCs w:val="22"/>
        </w:rPr>
        <w:t>sposiciones de Carácter General (en adelante, Ley 6/2022)</w:t>
      </w:r>
      <w:r w:rsidRPr="00DC5989">
        <w:rPr>
          <w:rFonts w:ascii="Arial" w:eastAsia="Arial" w:hAnsi="Arial" w:cs="Arial"/>
          <w:spacing w:val="-1"/>
          <w:sz w:val="22"/>
          <w:szCs w:val="22"/>
        </w:rPr>
        <w:t xml:space="preserve"> deviene de aplicación el procedimiento que dicha norma regula para la elaboración de las disposiciones de carácter general, contenido en su Capítulo II.</w:t>
      </w:r>
    </w:p>
    <w:p w:rsidR="00627916" w:rsidRPr="00DC5989" w:rsidRDefault="00627916" w:rsidP="00627916">
      <w:pPr>
        <w:spacing w:line="276" w:lineRule="auto"/>
        <w:jc w:val="both"/>
        <w:rPr>
          <w:rFonts w:ascii="Arial" w:eastAsia="Arial" w:hAnsi="Arial" w:cs="Arial"/>
          <w:spacing w:val="-1"/>
          <w:sz w:val="22"/>
          <w:szCs w:val="22"/>
        </w:rPr>
      </w:pPr>
    </w:p>
    <w:p w:rsidR="00627916" w:rsidRPr="00DC5989" w:rsidRDefault="00627916"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El artículo 12 de la ley citada señala que el procedimiento de elaboración de las disposiciones de carácter general se iniciará por orden del Consejero o Consejera titular del Departamento competente por razón de la materia sobre la que versen.</w:t>
      </w:r>
    </w:p>
    <w:p w:rsidR="006B43C5" w:rsidRPr="00DC5989" w:rsidRDefault="006B43C5" w:rsidP="00627916">
      <w:pPr>
        <w:spacing w:line="276" w:lineRule="auto"/>
        <w:jc w:val="both"/>
        <w:rPr>
          <w:rFonts w:ascii="Arial" w:eastAsia="Arial" w:hAnsi="Arial" w:cs="Arial"/>
          <w:spacing w:val="-1"/>
          <w:sz w:val="22"/>
          <w:szCs w:val="22"/>
        </w:rPr>
      </w:pPr>
    </w:p>
    <w:p w:rsidR="006B43C5" w:rsidRPr="00DC5989" w:rsidRDefault="006B43C5" w:rsidP="006B43C5">
      <w:pPr>
        <w:spacing w:before="120" w:after="120" w:line="276" w:lineRule="auto"/>
        <w:jc w:val="both"/>
        <w:rPr>
          <w:rFonts w:ascii="Arial" w:hAnsi="Arial" w:cs="Arial"/>
          <w:sz w:val="22"/>
          <w:szCs w:val="22"/>
        </w:rPr>
      </w:pPr>
      <w:r w:rsidRPr="00DC5989">
        <w:rPr>
          <w:rFonts w:ascii="Arial" w:hAnsi="Arial" w:cs="Arial"/>
          <w:sz w:val="22"/>
          <w:szCs w:val="22"/>
        </w:rPr>
        <w:t>En cuanto a la competencia para ordenar la iniciación del procedimiento, Ley 6/2022 establece en su artículo 12.1 que este procedimiento de elaboración se iniciará por Orden del Consejero o Consejera titular del Departamento competente por razón de la materia sobre la que verse. Asimismo, el artículo 13.1 de la citada ley establece los requisitos y el contenido mínimo que debe reunir esta orden de iniciación.</w:t>
      </w:r>
    </w:p>
    <w:p w:rsidR="00D718C6" w:rsidRPr="00DC5989" w:rsidRDefault="00D718C6" w:rsidP="006B43C5">
      <w:pPr>
        <w:spacing w:before="120" w:after="120" w:line="276" w:lineRule="auto"/>
        <w:jc w:val="both"/>
        <w:rPr>
          <w:rFonts w:ascii="Arial" w:hAnsi="Arial" w:cs="Arial"/>
          <w:sz w:val="22"/>
          <w:szCs w:val="22"/>
        </w:rPr>
      </w:pPr>
    </w:p>
    <w:p w:rsidR="006B43C5" w:rsidRPr="00DC5989" w:rsidRDefault="006B43C5" w:rsidP="006B43C5">
      <w:pPr>
        <w:spacing w:before="120" w:after="120" w:line="276" w:lineRule="auto"/>
        <w:jc w:val="both"/>
        <w:rPr>
          <w:rFonts w:ascii="Arial" w:hAnsi="Arial" w:cs="Arial"/>
          <w:sz w:val="22"/>
          <w:szCs w:val="22"/>
        </w:rPr>
      </w:pPr>
      <w:r w:rsidRPr="00DC5989">
        <w:rPr>
          <w:rFonts w:ascii="Arial" w:hAnsi="Arial" w:cs="Arial"/>
          <w:sz w:val="22"/>
          <w:szCs w:val="22"/>
        </w:rPr>
        <w:t>Atendiendo a lo dispuesto en el artículo 6 del Decreto 18/2020, de 6 de septiembre, del Lehendakari, de creación, supresión y modificación de los Departamentos de la Administración de la Comunidad Autónoma del País Vasco y de determinación de funciones y áreas de actuación de los mismos, es el Departamento de Trabajo y Empleo el competente en razón de la materia.</w:t>
      </w:r>
    </w:p>
    <w:p w:rsidR="00D718C6" w:rsidRPr="00DC5989" w:rsidRDefault="00D718C6" w:rsidP="006B43C5">
      <w:pPr>
        <w:spacing w:before="120" w:after="120" w:line="276" w:lineRule="auto"/>
        <w:jc w:val="both"/>
        <w:rPr>
          <w:rFonts w:ascii="Arial" w:hAnsi="Arial" w:cs="Arial"/>
          <w:sz w:val="22"/>
          <w:szCs w:val="22"/>
        </w:rPr>
      </w:pPr>
    </w:p>
    <w:p w:rsidR="006B43C5" w:rsidRPr="00DC5989" w:rsidRDefault="006B43C5" w:rsidP="006B43C5">
      <w:pPr>
        <w:spacing w:before="120" w:after="120" w:line="276" w:lineRule="auto"/>
        <w:jc w:val="both"/>
        <w:rPr>
          <w:rFonts w:ascii="Arial" w:hAnsi="Arial" w:cs="Arial"/>
          <w:sz w:val="22"/>
          <w:szCs w:val="22"/>
        </w:rPr>
      </w:pPr>
      <w:r w:rsidRPr="00DC5989">
        <w:rPr>
          <w:rFonts w:ascii="Arial" w:hAnsi="Arial" w:cs="Arial"/>
          <w:sz w:val="22"/>
          <w:szCs w:val="22"/>
        </w:rPr>
        <w:t>El Decreto 7/2021, de 19 de enero, por el que se establece la estructura orgánica y funcional del Departamento de Trabajo y Empleo, dispone que corresponde a la Viceconsejería de Trabajo y Seguridad Social, de la que depende la Dirección de Economía Social, ejercer las competencias que en materia de ejecución de la legislación laboral le atribuye la legislación vigente. Asimismo, corresponde a la Dirección de Economía Social dirigir y gestionar el Registro Especial de Asociaciones de Trabajo Autónomo en la Comunidad contemplado en la Ley 20/2007, de 11 de julio, del Estatuto del Trabajador Autónomo.</w:t>
      </w:r>
    </w:p>
    <w:p w:rsidR="00627916" w:rsidRPr="00DC5989" w:rsidRDefault="00627916" w:rsidP="00627916">
      <w:pPr>
        <w:spacing w:line="276" w:lineRule="auto"/>
        <w:jc w:val="both"/>
        <w:rPr>
          <w:rFonts w:ascii="Arial" w:eastAsia="Arial" w:hAnsi="Arial" w:cs="Arial"/>
          <w:spacing w:val="-1"/>
          <w:sz w:val="22"/>
          <w:szCs w:val="22"/>
        </w:rPr>
      </w:pPr>
    </w:p>
    <w:p w:rsidR="00213009" w:rsidRPr="00DC5989" w:rsidRDefault="00213009"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A estos efectos, principia el párrafo primero del artículo 13 disponiendo que la orden de inicio expresará sucintamente, el objeto y la finalidad de la norma, la oportunidad de la </w:t>
      </w:r>
      <w:r w:rsidRPr="00DC5989">
        <w:rPr>
          <w:rFonts w:ascii="Arial" w:eastAsia="Arial" w:hAnsi="Arial" w:cs="Arial"/>
          <w:spacing w:val="-1"/>
          <w:sz w:val="22"/>
          <w:szCs w:val="22"/>
        </w:rPr>
        <w:lastRenderedPageBreak/>
        <w:t>propuesta y las alternativas de regulación, incluyendo la necesidad de una nueva norma frente a la alternativa de no aprobar ninguna regulación</w:t>
      </w:r>
    </w:p>
    <w:p w:rsidR="00213009" w:rsidRPr="00DC5989" w:rsidRDefault="00213009" w:rsidP="00627916">
      <w:pPr>
        <w:spacing w:line="276" w:lineRule="auto"/>
        <w:jc w:val="both"/>
        <w:rPr>
          <w:rFonts w:ascii="Arial" w:eastAsia="Arial" w:hAnsi="Arial" w:cs="Arial"/>
          <w:spacing w:val="-1"/>
          <w:sz w:val="22"/>
          <w:szCs w:val="22"/>
        </w:rPr>
      </w:pPr>
    </w:p>
    <w:p w:rsidR="00213009" w:rsidRPr="00DC5989" w:rsidRDefault="0031403F" w:rsidP="00627916">
      <w:pPr>
        <w:spacing w:line="276" w:lineRule="auto"/>
        <w:jc w:val="both"/>
        <w:rPr>
          <w:rFonts w:ascii="Arial" w:eastAsia="Arial" w:hAnsi="Arial" w:cs="Arial"/>
          <w:b/>
          <w:spacing w:val="-1"/>
          <w:sz w:val="22"/>
          <w:szCs w:val="22"/>
          <w:u w:val="single"/>
        </w:rPr>
      </w:pPr>
      <w:r w:rsidRPr="00DC5989">
        <w:rPr>
          <w:rFonts w:ascii="Arial" w:eastAsia="Arial" w:hAnsi="Arial" w:cs="Arial"/>
          <w:b/>
          <w:spacing w:val="-1"/>
          <w:sz w:val="22"/>
          <w:szCs w:val="22"/>
          <w:u w:val="single"/>
        </w:rPr>
        <w:t xml:space="preserve">Objeto </w:t>
      </w:r>
      <w:r w:rsidR="00213009" w:rsidRPr="00DC5989">
        <w:rPr>
          <w:rFonts w:ascii="Arial" w:eastAsia="Arial" w:hAnsi="Arial" w:cs="Arial"/>
          <w:b/>
          <w:spacing w:val="-1"/>
          <w:sz w:val="22"/>
          <w:szCs w:val="22"/>
          <w:u w:val="single"/>
        </w:rPr>
        <w:t>y la finalidad</w:t>
      </w:r>
      <w:r w:rsidRPr="00DC5989">
        <w:rPr>
          <w:rFonts w:ascii="Arial" w:eastAsia="Arial" w:hAnsi="Arial" w:cs="Arial"/>
          <w:b/>
          <w:spacing w:val="-1"/>
          <w:sz w:val="22"/>
          <w:szCs w:val="22"/>
          <w:u w:val="single"/>
        </w:rPr>
        <w:t>.</w:t>
      </w:r>
    </w:p>
    <w:p w:rsidR="00213009" w:rsidRPr="00DC5989" w:rsidRDefault="00213009" w:rsidP="00627916">
      <w:pPr>
        <w:spacing w:line="276" w:lineRule="auto"/>
        <w:jc w:val="both"/>
        <w:rPr>
          <w:rFonts w:ascii="Arial" w:eastAsia="Arial" w:hAnsi="Arial" w:cs="Arial"/>
          <w:spacing w:val="-1"/>
          <w:sz w:val="22"/>
          <w:szCs w:val="22"/>
        </w:rPr>
      </w:pPr>
    </w:p>
    <w:p w:rsidR="00213009" w:rsidRPr="00DC5989" w:rsidRDefault="00213009"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Se trata </w:t>
      </w:r>
      <w:r w:rsidR="00341D29" w:rsidRPr="00DC5989">
        <w:rPr>
          <w:rFonts w:ascii="Arial" w:eastAsia="Arial" w:hAnsi="Arial" w:cs="Arial"/>
          <w:spacing w:val="-1"/>
          <w:sz w:val="22"/>
          <w:szCs w:val="22"/>
        </w:rPr>
        <w:t xml:space="preserve">exclusivamente, </w:t>
      </w:r>
      <w:r w:rsidRPr="00DC5989">
        <w:rPr>
          <w:rFonts w:ascii="Arial" w:eastAsia="Arial" w:hAnsi="Arial" w:cs="Arial"/>
          <w:spacing w:val="-1"/>
          <w:sz w:val="22"/>
          <w:szCs w:val="22"/>
        </w:rPr>
        <w:t xml:space="preserve">de sustituir la mención de </w:t>
      </w:r>
      <w:r w:rsidR="00341D29" w:rsidRPr="00DC5989">
        <w:rPr>
          <w:rFonts w:ascii="Arial" w:eastAsia="Arial" w:hAnsi="Arial" w:cs="Arial"/>
          <w:spacing w:val="-1"/>
          <w:sz w:val="22"/>
          <w:szCs w:val="22"/>
        </w:rPr>
        <w:t>“</w:t>
      </w:r>
      <w:r w:rsidRPr="00DC5989">
        <w:rPr>
          <w:rFonts w:ascii="Arial" w:eastAsia="Arial" w:hAnsi="Arial" w:cs="Arial"/>
          <w:spacing w:val="-1"/>
          <w:sz w:val="22"/>
          <w:szCs w:val="22"/>
        </w:rPr>
        <w:t>firma cualificada</w:t>
      </w:r>
      <w:r w:rsidR="00341D29" w:rsidRPr="00DC5989">
        <w:rPr>
          <w:rFonts w:ascii="Arial" w:eastAsia="Arial" w:hAnsi="Arial" w:cs="Arial"/>
          <w:spacing w:val="-1"/>
          <w:sz w:val="22"/>
          <w:szCs w:val="22"/>
        </w:rPr>
        <w:t>”</w:t>
      </w:r>
      <w:r w:rsidRPr="00DC5989">
        <w:rPr>
          <w:rFonts w:ascii="Arial" w:eastAsia="Arial" w:hAnsi="Arial" w:cs="Arial"/>
          <w:spacing w:val="-1"/>
          <w:sz w:val="22"/>
          <w:szCs w:val="22"/>
        </w:rPr>
        <w:t xml:space="preserve"> de la Disposición </w:t>
      </w:r>
      <w:r w:rsidR="000147FF" w:rsidRPr="00DC5989">
        <w:rPr>
          <w:rFonts w:ascii="Arial" w:eastAsia="Arial" w:hAnsi="Arial" w:cs="Arial"/>
          <w:spacing w:val="-1"/>
          <w:sz w:val="22"/>
          <w:szCs w:val="22"/>
        </w:rPr>
        <w:t>Adicional</w:t>
      </w:r>
      <w:r w:rsidRPr="00DC5989">
        <w:rPr>
          <w:rFonts w:ascii="Arial" w:eastAsia="Arial" w:hAnsi="Arial" w:cs="Arial"/>
          <w:spacing w:val="-1"/>
          <w:sz w:val="22"/>
          <w:szCs w:val="22"/>
        </w:rPr>
        <w:t xml:space="preserve"> Primera número 3 por “firma electrónica avanzada o cualificada”.</w:t>
      </w:r>
    </w:p>
    <w:p w:rsidR="00341D29" w:rsidRPr="00DC5989" w:rsidRDefault="00341D29" w:rsidP="00627916">
      <w:pPr>
        <w:spacing w:line="276" w:lineRule="auto"/>
        <w:jc w:val="both"/>
        <w:rPr>
          <w:rFonts w:ascii="Arial" w:eastAsia="Arial" w:hAnsi="Arial" w:cs="Arial"/>
          <w:spacing w:val="-1"/>
          <w:sz w:val="22"/>
          <w:szCs w:val="22"/>
        </w:rPr>
      </w:pPr>
    </w:p>
    <w:p w:rsidR="00341D29" w:rsidRPr="00DC5989" w:rsidRDefault="00341D29" w:rsidP="00627916">
      <w:pPr>
        <w:spacing w:line="276" w:lineRule="auto"/>
        <w:jc w:val="both"/>
        <w:rPr>
          <w:rFonts w:ascii="Arial" w:eastAsia="Arial" w:hAnsi="Arial" w:cs="Arial"/>
          <w:b/>
          <w:spacing w:val="-1"/>
          <w:sz w:val="22"/>
          <w:szCs w:val="22"/>
          <w:u w:val="single"/>
        </w:rPr>
      </w:pPr>
      <w:r w:rsidRPr="00DC5989">
        <w:rPr>
          <w:rFonts w:ascii="Arial" w:eastAsia="Arial" w:hAnsi="Arial" w:cs="Arial"/>
          <w:b/>
          <w:spacing w:val="-1"/>
          <w:sz w:val="22"/>
          <w:szCs w:val="22"/>
          <w:u w:val="single"/>
        </w:rPr>
        <w:t>Oportunidad</w:t>
      </w:r>
      <w:r w:rsidR="0031403F" w:rsidRPr="00DC5989">
        <w:rPr>
          <w:rFonts w:ascii="Arial" w:eastAsia="Arial" w:hAnsi="Arial" w:cs="Arial"/>
          <w:b/>
          <w:spacing w:val="-1"/>
          <w:sz w:val="22"/>
          <w:szCs w:val="22"/>
          <w:u w:val="single"/>
        </w:rPr>
        <w:t>, justificación y necesidad de la modificación.</w:t>
      </w:r>
    </w:p>
    <w:p w:rsidR="00341D29" w:rsidRPr="00DC5989" w:rsidRDefault="00341D29" w:rsidP="00627916">
      <w:pPr>
        <w:spacing w:line="276" w:lineRule="auto"/>
        <w:jc w:val="both"/>
        <w:rPr>
          <w:rFonts w:ascii="Arial" w:eastAsia="Arial" w:hAnsi="Arial" w:cs="Arial"/>
          <w:spacing w:val="-1"/>
          <w:sz w:val="22"/>
          <w:szCs w:val="22"/>
        </w:rPr>
      </w:pPr>
    </w:p>
    <w:p w:rsidR="00341D29" w:rsidRPr="00DC5989" w:rsidRDefault="00341D29"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La justificación </w:t>
      </w:r>
      <w:r w:rsidR="004142F4" w:rsidRPr="00DC5989">
        <w:rPr>
          <w:rFonts w:ascii="Arial" w:eastAsia="Arial" w:hAnsi="Arial" w:cs="Arial"/>
          <w:spacing w:val="-1"/>
          <w:sz w:val="22"/>
          <w:szCs w:val="22"/>
        </w:rPr>
        <w:t xml:space="preserve">de la modificación </w:t>
      </w:r>
      <w:r w:rsidR="00870A33" w:rsidRPr="00DC5989">
        <w:rPr>
          <w:rFonts w:ascii="Arial" w:eastAsia="Arial" w:hAnsi="Arial" w:cs="Arial"/>
          <w:spacing w:val="-1"/>
          <w:sz w:val="22"/>
          <w:szCs w:val="22"/>
        </w:rPr>
        <w:t>obedece</w:t>
      </w:r>
      <w:r w:rsidR="004142F4" w:rsidRPr="00DC5989">
        <w:rPr>
          <w:rFonts w:ascii="Arial" w:eastAsia="Arial" w:hAnsi="Arial" w:cs="Arial"/>
          <w:spacing w:val="-1"/>
          <w:sz w:val="22"/>
          <w:szCs w:val="22"/>
        </w:rPr>
        <w:t xml:space="preserve"> a establecer un sistema homogéneo respecto de otras procedimientos electrónicos </w:t>
      </w:r>
      <w:r w:rsidR="00870A33" w:rsidRPr="00DC5989">
        <w:rPr>
          <w:rFonts w:ascii="Arial" w:eastAsia="Arial" w:hAnsi="Arial" w:cs="Arial"/>
          <w:spacing w:val="-1"/>
          <w:sz w:val="22"/>
          <w:szCs w:val="22"/>
        </w:rPr>
        <w:t>registrales</w:t>
      </w:r>
      <w:r w:rsidR="004142F4" w:rsidRPr="00DC5989">
        <w:rPr>
          <w:rFonts w:ascii="Arial" w:eastAsia="Arial" w:hAnsi="Arial" w:cs="Arial"/>
          <w:spacing w:val="-1"/>
          <w:sz w:val="22"/>
          <w:szCs w:val="22"/>
        </w:rPr>
        <w:t>, a efectos de firma, como es el del Registro de Cooperativas de Euskadi, en elaboración en este momento. En efecto, en dicho proyecto, y en base a los informes emitidos, se ha considerado oportuno flexibilizar la opción inicial, similar al registral de autónomos, de firma cualificada, exclusivamente, por firma avanzada o cualificada.</w:t>
      </w:r>
    </w:p>
    <w:p w:rsidR="004142F4" w:rsidRPr="00DC5989" w:rsidRDefault="004142F4" w:rsidP="00627916">
      <w:pPr>
        <w:spacing w:line="276" w:lineRule="auto"/>
        <w:jc w:val="both"/>
        <w:rPr>
          <w:rFonts w:ascii="Arial" w:eastAsia="Arial" w:hAnsi="Arial" w:cs="Arial"/>
          <w:spacing w:val="-1"/>
          <w:sz w:val="22"/>
          <w:szCs w:val="22"/>
        </w:rPr>
      </w:pPr>
    </w:p>
    <w:p w:rsidR="004142F4" w:rsidRPr="00DC5989" w:rsidRDefault="004142F4"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En este sentido, se ha de observar que ambos se hallan basados en certificados electrónicos cualificados de firma electrónica expedidos por </w:t>
      </w:r>
      <w:r w:rsidR="00870A33" w:rsidRPr="00DC5989">
        <w:rPr>
          <w:rFonts w:ascii="Arial" w:eastAsia="Arial" w:hAnsi="Arial" w:cs="Arial"/>
          <w:spacing w:val="-1"/>
          <w:sz w:val="22"/>
          <w:szCs w:val="22"/>
        </w:rPr>
        <w:t>prestadores</w:t>
      </w:r>
      <w:r w:rsidRPr="00DC5989">
        <w:rPr>
          <w:rFonts w:ascii="Arial" w:eastAsia="Arial" w:hAnsi="Arial" w:cs="Arial"/>
          <w:spacing w:val="-1"/>
          <w:sz w:val="22"/>
          <w:szCs w:val="22"/>
        </w:rPr>
        <w:t xml:space="preserve"> </w:t>
      </w:r>
      <w:r w:rsidR="00870A33" w:rsidRPr="00DC5989">
        <w:rPr>
          <w:rFonts w:ascii="Arial" w:eastAsia="Arial" w:hAnsi="Arial" w:cs="Arial"/>
          <w:spacing w:val="-1"/>
          <w:sz w:val="22"/>
          <w:szCs w:val="22"/>
        </w:rPr>
        <w:t>incluidos</w:t>
      </w:r>
      <w:r w:rsidRPr="00DC5989">
        <w:rPr>
          <w:rFonts w:ascii="Arial" w:eastAsia="Arial" w:hAnsi="Arial" w:cs="Arial"/>
          <w:spacing w:val="-1"/>
          <w:sz w:val="22"/>
          <w:szCs w:val="22"/>
        </w:rPr>
        <w:t xml:space="preserve"> en la lista de confianza de prestadores de servicios de certificación.</w:t>
      </w:r>
    </w:p>
    <w:p w:rsidR="004142F4" w:rsidRPr="00DC5989" w:rsidRDefault="004142F4" w:rsidP="00627916">
      <w:pPr>
        <w:spacing w:line="276" w:lineRule="auto"/>
        <w:jc w:val="both"/>
        <w:rPr>
          <w:rFonts w:ascii="Arial" w:eastAsia="Arial" w:hAnsi="Arial" w:cs="Arial"/>
          <w:spacing w:val="-1"/>
          <w:sz w:val="22"/>
          <w:szCs w:val="22"/>
        </w:rPr>
      </w:pPr>
    </w:p>
    <w:p w:rsidR="004142F4" w:rsidRPr="00DC5989" w:rsidRDefault="004142F4"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La razón originaria de la exigencia de firma cualificada </w:t>
      </w:r>
      <w:r w:rsidR="00870A33" w:rsidRPr="00DC5989">
        <w:rPr>
          <w:rFonts w:ascii="Arial" w:eastAsia="Arial" w:hAnsi="Arial" w:cs="Arial"/>
          <w:spacing w:val="-1"/>
          <w:sz w:val="22"/>
          <w:szCs w:val="22"/>
        </w:rPr>
        <w:t>residía</w:t>
      </w:r>
      <w:r w:rsidRPr="00DC5989">
        <w:rPr>
          <w:rFonts w:ascii="Arial" w:eastAsia="Arial" w:hAnsi="Arial" w:cs="Arial"/>
          <w:spacing w:val="-1"/>
          <w:sz w:val="22"/>
          <w:szCs w:val="22"/>
        </w:rPr>
        <w:t xml:space="preserve"> en su mayor nivel de seguridad con los efectos anudados de presunción de validez jurídica a efectos de prueba. Aspecto éste que se acomoda, por su mayor exigencia, al carácter y efectos del servicio público registral de personas jurídicas</w:t>
      </w:r>
      <w:r w:rsidR="0031403F" w:rsidRPr="00DC5989">
        <w:rPr>
          <w:rFonts w:ascii="Arial" w:eastAsia="Arial" w:hAnsi="Arial" w:cs="Arial"/>
          <w:spacing w:val="-1"/>
          <w:sz w:val="22"/>
          <w:szCs w:val="22"/>
        </w:rPr>
        <w:t>; tanto más cuanto resulta suficiente, en materia asociativa, título privado para el acceso a los libros registrales.</w:t>
      </w:r>
    </w:p>
    <w:p w:rsidR="0031403F" w:rsidRPr="00DC5989" w:rsidRDefault="0031403F" w:rsidP="00627916">
      <w:pPr>
        <w:spacing w:line="276" w:lineRule="auto"/>
        <w:jc w:val="both"/>
        <w:rPr>
          <w:rFonts w:ascii="Arial" w:eastAsia="Arial" w:hAnsi="Arial" w:cs="Arial"/>
          <w:spacing w:val="-1"/>
          <w:sz w:val="22"/>
          <w:szCs w:val="22"/>
        </w:rPr>
      </w:pPr>
    </w:p>
    <w:p w:rsidR="0031403F" w:rsidRPr="00DC5989" w:rsidRDefault="0031403F"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Sin </w:t>
      </w:r>
      <w:r w:rsidR="00163584" w:rsidRPr="00DC5989">
        <w:rPr>
          <w:rFonts w:ascii="Arial" w:eastAsia="Arial" w:hAnsi="Arial" w:cs="Arial"/>
          <w:spacing w:val="-1"/>
          <w:sz w:val="22"/>
          <w:szCs w:val="22"/>
        </w:rPr>
        <w:t>embargo, y derivado de lo infor</w:t>
      </w:r>
      <w:r w:rsidRPr="00DC5989">
        <w:rPr>
          <w:rFonts w:ascii="Arial" w:eastAsia="Arial" w:hAnsi="Arial" w:cs="Arial"/>
          <w:spacing w:val="-1"/>
          <w:sz w:val="22"/>
          <w:szCs w:val="22"/>
        </w:rPr>
        <w:t>m</w:t>
      </w:r>
      <w:r w:rsidR="00163584" w:rsidRPr="00DC5989">
        <w:rPr>
          <w:rFonts w:ascii="Arial" w:eastAsia="Arial" w:hAnsi="Arial" w:cs="Arial"/>
          <w:spacing w:val="-1"/>
          <w:sz w:val="22"/>
          <w:szCs w:val="22"/>
        </w:rPr>
        <w:t>a</w:t>
      </w:r>
      <w:r w:rsidRPr="00DC5989">
        <w:rPr>
          <w:rFonts w:ascii="Arial" w:eastAsia="Arial" w:hAnsi="Arial" w:cs="Arial"/>
          <w:spacing w:val="-1"/>
          <w:sz w:val="22"/>
          <w:szCs w:val="22"/>
        </w:rPr>
        <w:t xml:space="preserve">do en el trámite de elaboración de la norma reglamentaria </w:t>
      </w:r>
      <w:r w:rsidR="00870A33" w:rsidRPr="00DC5989">
        <w:rPr>
          <w:rFonts w:ascii="Arial" w:eastAsia="Arial" w:hAnsi="Arial" w:cs="Arial"/>
          <w:spacing w:val="-1"/>
          <w:sz w:val="22"/>
          <w:szCs w:val="22"/>
        </w:rPr>
        <w:t>registral</w:t>
      </w:r>
      <w:r w:rsidRPr="00DC5989">
        <w:rPr>
          <w:rFonts w:ascii="Arial" w:eastAsia="Arial" w:hAnsi="Arial" w:cs="Arial"/>
          <w:spacing w:val="-1"/>
          <w:sz w:val="22"/>
          <w:szCs w:val="22"/>
        </w:rPr>
        <w:t xml:space="preserve"> de sociedad</w:t>
      </w:r>
      <w:r w:rsidR="002A3307" w:rsidRPr="00DC5989">
        <w:rPr>
          <w:rFonts w:ascii="Arial" w:eastAsia="Arial" w:hAnsi="Arial" w:cs="Arial"/>
          <w:spacing w:val="-1"/>
          <w:sz w:val="22"/>
          <w:szCs w:val="22"/>
        </w:rPr>
        <w:t xml:space="preserve">es cooperativas, se deriva que </w:t>
      </w:r>
      <w:r w:rsidRPr="00DC5989">
        <w:rPr>
          <w:rFonts w:ascii="Arial" w:eastAsia="Arial" w:hAnsi="Arial" w:cs="Arial"/>
          <w:spacing w:val="-1"/>
          <w:sz w:val="22"/>
          <w:szCs w:val="22"/>
        </w:rPr>
        <w:t>l</w:t>
      </w:r>
      <w:r w:rsidR="002A3307" w:rsidRPr="00DC5989">
        <w:rPr>
          <w:rFonts w:ascii="Arial" w:eastAsia="Arial" w:hAnsi="Arial" w:cs="Arial"/>
          <w:spacing w:val="-1"/>
          <w:sz w:val="22"/>
          <w:szCs w:val="22"/>
        </w:rPr>
        <w:t>a</w:t>
      </w:r>
      <w:r w:rsidRPr="00DC5989">
        <w:rPr>
          <w:rFonts w:ascii="Arial" w:eastAsia="Arial" w:hAnsi="Arial" w:cs="Arial"/>
          <w:spacing w:val="-1"/>
          <w:sz w:val="22"/>
          <w:szCs w:val="22"/>
        </w:rPr>
        <w:t xml:space="preserve"> firma avanzada resulta suficientemente segura a estos efectos.</w:t>
      </w:r>
    </w:p>
    <w:p w:rsidR="0031403F" w:rsidRPr="00DC5989" w:rsidRDefault="0031403F" w:rsidP="00627916">
      <w:pPr>
        <w:spacing w:line="276" w:lineRule="auto"/>
        <w:jc w:val="both"/>
        <w:rPr>
          <w:rFonts w:ascii="Arial" w:eastAsia="Arial" w:hAnsi="Arial" w:cs="Arial"/>
          <w:spacing w:val="-1"/>
          <w:sz w:val="22"/>
          <w:szCs w:val="22"/>
        </w:rPr>
      </w:pPr>
    </w:p>
    <w:p w:rsidR="0031403F" w:rsidRPr="00DC5989" w:rsidRDefault="0031403F"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Ha de tenerse en cuenta además, que tampoco son similares los efectos jurídicos de la publicidad societaria respecto de la asociativa, de conformi</w:t>
      </w:r>
      <w:r w:rsidR="002A3307" w:rsidRPr="00DC5989">
        <w:rPr>
          <w:rFonts w:ascii="Arial" w:eastAsia="Arial" w:hAnsi="Arial" w:cs="Arial"/>
          <w:spacing w:val="-1"/>
          <w:sz w:val="22"/>
          <w:szCs w:val="22"/>
        </w:rPr>
        <w:t>dad con la regulación aplicable; y que podría afectar a la carga de la prueba en caso de cuestionarse la validez de la firma.</w:t>
      </w:r>
    </w:p>
    <w:p w:rsidR="00341D29" w:rsidRPr="00DC5989" w:rsidRDefault="00341D29" w:rsidP="00627916">
      <w:pPr>
        <w:spacing w:line="276" w:lineRule="auto"/>
        <w:jc w:val="both"/>
        <w:rPr>
          <w:rFonts w:ascii="Arial" w:eastAsia="Arial" w:hAnsi="Arial" w:cs="Arial"/>
          <w:spacing w:val="-1"/>
          <w:sz w:val="22"/>
          <w:szCs w:val="22"/>
        </w:rPr>
      </w:pPr>
    </w:p>
    <w:p w:rsidR="002A3307" w:rsidRPr="00DC5989" w:rsidRDefault="002A3307"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En todo caso, la firma avanzad</w:t>
      </w:r>
      <w:r w:rsidR="00870A33" w:rsidRPr="00DC5989">
        <w:rPr>
          <w:rFonts w:ascii="Arial" w:eastAsia="Arial" w:hAnsi="Arial" w:cs="Arial"/>
          <w:spacing w:val="-1"/>
          <w:sz w:val="22"/>
          <w:szCs w:val="22"/>
        </w:rPr>
        <w:t>a aporta evidencias, que se consid</w:t>
      </w:r>
      <w:r w:rsidRPr="00DC5989">
        <w:rPr>
          <w:rFonts w:ascii="Arial" w:eastAsia="Arial" w:hAnsi="Arial" w:cs="Arial"/>
          <w:spacing w:val="-1"/>
          <w:sz w:val="22"/>
          <w:szCs w:val="22"/>
        </w:rPr>
        <w:t>eran suficientes, para garantizar la identidad y voluntad del firmante así como la integridad del documento firmado.</w:t>
      </w:r>
    </w:p>
    <w:p w:rsidR="002A3307" w:rsidRPr="00DC5989" w:rsidRDefault="002A3307" w:rsidP="00627916">
      <w:pPr>
        <w:spacing w:line="276" w:lineRule="auto"/>
        <w:jc w:val="both"/>
        <w:rPr>
          <w:rFonts w:ascii="Arial" w:eastAsia="Arial" w:hAnsi="Arial" w:cs="Arial"/>
          <w:spacing w:val="-1"/>
          <w:sz w:val="22"/>
          <w:szCs w:val="22"/>
        </w:rPr>
      </w:pPr>
    </w:p>
    <w:p w:rsidR="00341D29" w:rsidRPr="00DC5989" w:rsidRDefault="0031403F"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En definitiva, e</w:t>
      </w:r>
      <w:r w:rsidR="00341D29" w:rsidRPr="00DC5989">
        <w:rPr>
          <w:rFonts w:ascii="Arial" w:eastAsia="Arial" w:hAnsi="Arial" w:cs="Arial"/>
          <w:spacing w:val="-1"/>
          <w:sz w:val="22"/>
          <w:szCs w:val="22"/>
        </w:rPr>
        <w:t xml:space="preserve">l Decreto 181/2021 pretende, en el nuevo procedimiento registral, íntegramente electrónico, que regula a los efectos de seguridad jurídica, </w:t>
      </w:r>
      <w:r w:rsidR="00870A33" w:rsidRPr="00DC5989">
        <w:rPr>
          <w:rFonts w:ascii="Arial" w:eastAsia="Arial" w:hAnsi="Arial" w:cs="Arial"/>
          <w:spacing w:val="-1"/>
          <w:sz w:val="22"/>
          <w:szCs w:val="22"/>
        </w:rPr>
        <w:t>revestir</w:t>
      </w:r>
      <w:r w:rsidR="00341D29" w:rsidRPr="00DC5989">
        <w:rPr>
          <w:rFonts w:ascii="Arial" w:eastAsia="Arial" w:hAnsi="Arial" w:cs="Arial"/>
          <w:spacing w:val="-1"/>
          <w:sz w:val="22"/>
          <w:szCs w:val="22"/>
        </w:rPr>
        <w:t xml:space="preserve"> la firma electrónica con la opción más </w:t>
      </w:r>
      <w:r w:rsidRPr="00DC5989">
        <w:rPr>
          <w:rFonts w:ascii="Arial" w:eastAsia="Arial" w:hAnsi="Arial" w:cs="Arial"/>
          <w:spacing w:val="-1"/>
          <w:sz w:val="22"/>
          <w:szCs w:val="22"/>
        </w:rPr>
        <w:t>flexible y mejor ajustada a la naturaleza jurídica de la enti</w:t>
      </w:r>
      <w:r w:rsidR="00870A33" w:rsidRPr="00DC5989">
        <w:rPr>
          <w:rFonts w:ascii="Arial" w:eastAsia="Arial" w:hAnsi="Arial" w:cs="Arial"/>
          <w:spacing w:val="-1"/>
          <w:sz w:val="22"/>
          <w:szCs w:val="22"/>
        </w:rPr>
        <w:t>dades sujetas a publicidad regist</w:t>
      </w:r>
      <w:r w:rsidRPr="00DC5989">
        <w:rPr>
          <w:rFonts w:ascii="Arial" w:eastAsia="Arial" w:hAnsi="Arial" w:cs="Arial"/>
          <w:spacing w:val="-1"/>
          <w:sz w:val="22"/>
          <w:szCs w:val="22"/>
        </w:rPr>
        <w:t>ral.</w:t>
      </w:r>
    </w:p>
    <w:p w:rsidR="0031403F" w:rsidRPr="00DC5989" w:rsidRDefault="0031403F" w:rsidP="00627916">
      <w:pPr>
        <w:spacing w:line="276" w:lineRule="auto"/>
        <w:jc w:val="both"/>
        <w:rPr>
          <w:rFonts w:ascii="Arial" w:eastAsia="Arial" w:hAnsi="Arial" w:cs="Arial"/>
          <w:spacing w:val="-1"/>
          <w:sz w:val="22"/>
          <w:szCs w:val="22"/>
        </w:rPr>
      </w:pPr>
    </w:p>
    <w:p w:rsidR="0031403F" w:rsidRPr="00DC5989" w:rsidRDefault="003C5962" w:rsidP="00627916">
      <w:pPr>
        <w:spacing w:line="276" w:lineRule="auto"/>
        <w:jc w:val="both"/>
        <w:rPr>
          <w:rFonts w:ascii="Arial" w:eastAsia="Arial" w:hAnsi="Arial" w:cs="Arial"/>
          <w:b/>
          <w:spacing w:val="-1"/>
          <w:sz w:val="22"/>
          <w:szCs w:val="22"/>
          <w:u w:val="single"/>
        </w:rPr>
      </w:pPr>
      <w:r w:rsidRPr="00DC5989">
        <w:rPr>
          <w:rFonts w:ascii="Arial" w:eastAsia="Arial" w:hAnsi="Arial" w:cs="Arial"/>
          <w:b/>
          <w:spacing w:val="-1"/>
          <w:sz w:val="22"/>
          <w:szCs w:val="22"/>
          <w:u w:val="single"/>
        </w:rPr>
        <w:lastRenderedPageBreak/>
        <w:t xml:space="preserve">Alternativa de no aprobación de la </w:t>
      </w:r>
      <w:r w:rsidR="00870A33" w:rsidRPr="00DC5989">
        <w:rPr>
          <w:rFonts w:ascii="Arial" w:eastAsia="Arial" w:hAnsi="Arial" w:cs="Arial"/>
          <w:b/>
          <w:spacing w:val="-1"/>
          <w:sz w:val="22"/>
          <w:szCs w:val="22"/>
          <w:u w:val="single"/>
        </w:rPr>
        <w:t>modificación</w:t>
      </w:r>
      <w:r w:rsidRPr="00DC5989">
        <w:rPr>
          <w:rFonts w:ascii="Arial" w:eastAsia="Arial" w:hAnsi="Arial" w:cs="Arial"/>
          <w:b/>
          <w:spacing w:val="-1"/>
          <w:sz w:val="22"/>
          <w:szCs w:val="22"/>
          <w:u w:val="single"/>
        </w:rPr>
        <w:t>.</w:t>
      </w:r>
    </w:p>
    <w:p w:rsidR="003C5962" w:rsidRPr="00DC5989" w:rsidRDefault="003C5962" w:rsidP="00627916">
      <w:pPr>
        <w:spacing w:line="276" w:lineRule="auto"/>
        <w:jc w:val="both"/>
        <w:rPr>
          <w:rFonts w:ascii="Arial" w:eastAsia="Arial" w:hAnsi="Arial" w:cs="Arial"/>
          <w:spacing w:val="-1"/>
          <w:sz w:val="22"/>
          <w:szCs w:val="22"/>
        </w:rPr>
      </w:pPr>
    </w:p>
    <w:p w:rsidR="003C5962" w:rsidRPr="00DC5989" w:rsidRDefault="003C5962"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Supondría un régimen jurídico más exigente para las entidades de naturaleza asociativa respecto de las societarias, cuando su configuración jurídica es diversa en relación con la actuación de los poderes públicos; y menos intensa respecto de las asociaciones.</w:t>
      </w:r>
    </w:p>
    <w:p w:rsidR="00213009" w:rsidRPr="00DC5989" w:rsidRDefault="00213009" w:rsidP="00627916">
      <w:pPr>
        <w:spacing w:line="276" w:lineRule="auto"/>
        <w:jc w:val="both"/>
        <w:rPr>
          <w:rFonts w:ascii="Arial" w:eastAsia="Arial" w:hAnsi="Arial" w:cs="Arial"/>
          <w:spacing w:val="-1"/>
          <w:sz w:val="22"/>
          <w:szCs w:val="22"/>
        </w:rPr>
      </w:pPr>
    </w:p>
    <w:p w:rsidR="006B43C5" w:rsidRPr="00DC5989" w:rsidRDefault="006B43C5" w:rsidP="00627916">
      <w:pPr>
        <w:spacing w:line="276" w:lineRule="auto"/>
        <w:jc w:val="both"/>
        <w:rPr>
          <w:rFonts w:ascii="Arial" w:eastAsia="Arial" w:hAnsi="Arial" w:cs="Arial"/>
          <w:spacing w:val="-1"/>
          <w:sz w:val="22"/>
          <w:szCs w:val="22"/>
        </w:rPr>
      </w:pPr>
    </w:p>
    <w:p w:rsidR="00213009" w:rsidRPr="00DC5989" w:rsidRDefault="00213009"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Así mismo, el reiterado artículo 13 regula los </w:t>
      </w:r>
      <w:r w:rsidRPr="00DC5989">
        <w:rPr>
          <w:rFonts w:ascii="Arial" w:eastAsia="Arial" w:hAnsi="Arial" w:cs="Arial"/>
          <w:b/>
          <w:spacing w:val="-1"/>
          <w:sz w:val="22"/>
          <w:szCs w:val="22"/>
        </w:rPr>
        <w:t>contenidos</w:t>
      </w:r>
      <w:r w:rsidRPr="00DC5989">
        <w:rPr>
          <w:rFonts w:ascii="Arial" w:eastAsia="Arial" w:hAnsi="Arial" w:cs="Arial"/>
          <w:spacing w:val="-1"/>
          <w:sz w:val="22"/>
          <w:szCs w:val="22"/>
        </w:rPr>
        <w:t xml:space="preserve"> de la orden de </w:t>
      </w:r>
      <w:r w:rsidR="00870A33" w:rsidRPr="00DC5989">
        <w:rPr>
          <w:rFonts w:ascii="Arial" w:eastAsia="Arial" w:hAnsi="Arial" w:cs="Arial"/>
          <w:spacing w:val="-1"/>
          <w:sz w:val="22"/>
          <w:szCs w:val="22"/>
        </w:rPr>
        <w:t>inicio</w:t>
      </w:r>
      <w:r w:rsidRPr="00DC5989">
        <w:rPr>
          <w:rFonts w:ascii="Arial" w:eastAsia="Arial" w:hAnsi="Arial" w:cs="Arial"/>
          <w:spacing w:val="-1"/>
          <w:sz w:val="22"/>
          <w:szCs w:val="22"/>
        </w:rPr>
        <w:t xml:space="preserve"> que resultan ser:</w:t>
      </w:r>
    </w:p>
    <w:p w:rsidR="00213009" w:rsidRPr="00DC5989" w:rsidRDefault="00213009" w:rsidP="00627916">
      <w:pPr>
        <w:spacing w:line="276" w:lineRule="auto"/>
        <w:jc w:val="both"/>
        <w:rPr>
          <w:rFonts w:ascii="Arial" w:eastAsia="Arial" w:hAnsi="Arial" w:cs="Arial"/>
          <w:spacing w:val="-1"/>
          <w:sz w:val="22"/>
          <w:szCs w:val="22"/>
        </w:rPr>
      </w:pPr>
    </w:p>
    <w:p w:rsidR="00213009" w:rsidRPr="00DC5989" w:rsidRDefault="00213009" w:rsidP="00213009">
      <w:pPr>
        <w:pStyle w:val="Prrafodelista"/>
        <w:numPr>
          <w:ilvl w:val="0"/>
          <w:numId w:val="3"/>
        </w:numPr>
        <w:spacing w:line="276" w:lineRule="auto"/>
        <w:jc w:val="both"/>
        <w:rPr>
          <w:rFonts w:ascii="Arial" w:eastAsia="Arial" w:hAnsi="Arial" w:cs="Arial"/>
          <w:b/>
          <w:spacing w:val="-1"/>
          <w:sz w:val="22"/>
          <w:szCs w:val="22"/>
        </w:rPr>
      </w:pPr>
      <w:r w:rsidRPr="00DC5989">
        <w:rPr>
          <w:rFonts w:ascii="Arial" w:eastAsia="Arial" w:hAnsi="Arial" w:cs="Arial"/>
          <w:b/>
          <w:spacing w:val="-1"/>
          <w:sz w:val="22"/>
          <w:szCs w:val="22"/>
        </w:rPr>
        <w:t xml:space="preserve">Estimación de su </w:t>
      </w:r>
      <w:r w:rsidR="00870A33" w:rsidRPr="00DC5989">
        <w:rPr>
          <w:rFonts w:ascii="Arial" w:eastAsia="Arial" w:hAnsi="Arial" w:cs="Arial"/>
          <w:b/>
          <w:spacing w:val="-1"/>
          <w:sz w:val="22"/>
          <w:szCs w:val="22"/>
        </w:rPr>
        <w:t>viabilidad</w:t>
      </w:r>
      <w:r w:rsidRPr="00DC5989">
        <w:rPr>
          <w:rFonts w:ascii="Arial" w:eastAsia="Arial" w:hAnsi="Arial" w:cs="Arial"/>
          <w:b/>
          <w:spacing w:val="-1"/>
          <w:sz w:val="22"/>
          <w:szCs w:val="22"/>
        </w:rPr>
        <w:t xml:space="preserve"> jurídica y material, con refe</w:t>
      </w:r>
      <w:r w:rsidR="00870A33" w:rsidRPr="00DC5989">
        <w:rPr>
          <w:rFonts w:ascii="Arial" w:eastAsia="Arial" w:hAnsi="Arial" w:cs="Arial"/>
          <w:b/>
          <w:spacing w:val="-1"/>
          <w:sz w:val="22"/>
          <w:szCs w:val="22"/>
        </w:rPr>
        <w:t>re</w:t>
      </w:r>
      <w:r w:rsidRPr="00DC5989">
        <w:rPr>
          <w:rFonts w:ascii="Arial" w:eastAsia="Arial" w:hAnsi="Arial" w:cs="Arial"/>
          <w:b/>
          <w:spacing w:val="-1"/>
          <w:sz w:val="22"/>
          <w:szCs w:val="22"/>
        </w:rPr>
        <w:t>ncia al derecho vigente en Euskadi y al de la Unión Europea, incluido el análisis sobre adecuación de la norma propuesta a la distribución competencial en relación con el Estado, los Territorios Históricos y las entidades locales; y su adecuación a los principios de buena regulación.</w:t>
      </w:r>
    </w:p>
    <w:p w:rsidR="006B43C5" w:rsidRPr="00DC5989" w:rsidRDefault="006B43C5" w:rsidP="006B43C5">
      <w:pPr>
        <w:spacing w:line="276" w:lineRule="auto"/>
        <w:jc w:val="both"/>
        <w:rPr>
          <w:rFonts w:ascii="Arial" w:eastAsia="Arial" w:hAnsi="Arial" w:cs="Arial"/>
          <w:spacing w:val="-1"/>
          <w:sz w:val="22"/>
          <w:szCs w:val="22"/>
        </w:rPr>
      </w:pPr>
    </w:p>
    <w:p w:rsidR="006B43C5" w:rsidRPr="00DC5989" w:rsidRDefault="00451F7B" w:rsidP="006B43C5">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1.- </w:t>
      </w:r>
      <w:r w:rsidR="006B43C5" w:rsidRPr="00DC5989">
        <w:rPr>
          <w:rFonts w:ascii="Arial" w:eastAsia="Arial" w:hAnsi="Arial" w:cs="Arial"/>
          <w:spacing w:val="-1"/>
          <w:sz w:val="22"/>
          <w:szCs w:val="22"/>
        </w:rPr>
        <w:t xml:space="preserve">La modificación que se propone responde a las mismas estimaciones de </w:t>
      </w:r>
      <w:r w:rsidR="00870A33" w:rsidRPr="00DC5989">
        <w:rPr>
          <w:rFonts w:ascii="Arial" w:eastAsia="Arial" w:hAnsi="Arial" w:cs="Arial"/>
          <w:spacing w:val="-1"/>
          <w:sz w:val="22"/>
          <w:szCs w:val="22"/>
        </w:rPr>
        <w:t>viabilidad</w:t>
      </w:r>
      <w:r w:rsidR="006B43C5" w:rsidRPr="00DC5989">
        <w:rPr>
          <w:rFonts w:ascii="Arial" w:eastAsia="Arial" w:hAnsi="Arial" w:cs="Arial"/>
          <w:spacing w:val="-1"/>
          <w:sz w:val="22"/>
          <w:szCs w:val="22"/>
        </w:rPr>
        <w:t xml:space="preserve"> jurídica y material así como de distribución competencial entre los diversos sujetos jurídico públicos concernidos, que el texto</w:t>
      </w:r>
      <w:r w:rsidR="001C0B51" w:rsidRPr="00DC5989">
        <w:rPr>
          <w:rFonts w:ascii="Arial" w:eastAsia="Arial" w:hAnsi="Arial" w:cs="Arial"/>
          <w:spacing w:val="-1"/>
          <w:sz w:val="22"/>
          <w:szCs w:val="22"/>
        </w:rPr>
        <w:t xml:space="preserve"> normativo</w:t>
      </w:r>
      <w:r w:rsidR="006B43C5" w:rsidRPr="00DC5989">
        <w:rPr>
          <w:rFonts w:ascii="Arial" w:eastAsia="Arial" w:hAnsi="Arial" w:cs="Arial"/>
          <w:spacing w:val="-1"/>
          <w:sz w:val="22"/>
          <w:szCs w:val="22"/>
        </w:rPr>
        <w:t xml:space="preserve"> que pretende modificar</w:t>
      </w:r>
      <w:r w:rsidR="001C0B51" w:rsidRPr="00DC5989">
        <w:rPr>
          <w:rFonts w:ascii="Arial" w:eastAsia="Arial" w:hAnsi="Arial" w:cs="Arial"/>
          <w:spacing w:val="-1"/>
          <w:sz w:val="22"/>
          <w:szCs w:val="22"/>
        </w:rPr>
        <w:t>.</w:t>
      </w:r>
    </w:p>
    <w:p w:rsidR="006B43C5" w:rsidRPr="00DC5989" w:rsidRDefault="006B43C5" w:rsidP="006B43C5">
      <w:pPr>
        <w:spacing w:line="276" w:lineRule="auto"/>
        <w:jc w:val="both"/>
        <w:rPr>
          <w:rFonts w:ascii="Arial" w:eastAsia="Arial" w:hAnsi="Arial" w:cs="Arial"/>
          <w:spacing w:val="-1"/>
          <w:sz w:val="22"/>
          <w:szCs w:val="22"/>
        </w:rPr>
      </w:pPr>
    </w:p>
    <w:p w:rsidR="006B43C5" w:rsidRPr="00DC5989" w:rsidRDefault="001C0B51" w:rsidP="006B43C5">
      <w:pPr>
        <w:spacing w:before="120" w:after="120"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En este sentido, y con carácter general, la regulación que se </w:t>
      </w:r>
      <w:r w:rsidR="006B43C5" w:rsidRPr="00DC5989">
        <w:rPr>
          <w:rFonts w:ascii="Arial" w:eastAsia="Arial" w:hAnsi="Arial" w:cs="Arial"/>
          <w:spacing w:val="-1"/>
          <w:sz w:val="22"/>
          <w:szCs w:val="22"/>
        </w:rPr>
        <w:t>en ejecución de lo dispuesto en el artículo 20.3 en relación con la Disposición Adicional Sexta, ambos de la Ley 20/2007, complementada por la facultad de auto-organización que corresponde a esta Administración para ordenar y organizar los servicios que debe prestar, adaptándolos a su propio ámbito autonómico para una gestión eficaz y eficiente de los mismos.</w:t>
      </w:r>
    </w:p>
    <w:p w:rsidR="00451F7B" w:rsidRPr="00DC5989" w:rsidRDefault="00451F7B" w:rsidP="006B43C5">
      <w:pPr>
        <w:spacing w:before="120" w:after="120" w:line="276" w:lineRule="auto"/>
        <w:jc w:val="both"/>
        <w:rPr>
          <w:rFonts w:ascii="Arial" w:eastAsia="Arial" w:hAnsi="Arial" w:cs="Arial"/>
          <w:spacing w:val="-1"/>
          <w:sz w:val="22"/>
          <w:szCs w:val="22"/>
        </w:rPr>
      </w:pPr>
    </w:p>
    <w:p w:rsidR="00451F7B" w:rsidRPr="00DC5989" w:rsidRDefault="00451F7B" w:rsidP="006B43C5">
      <w:pPr>
        <w:spacing w:before="120" w:after="120"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En concreto, el artículo 10.2.a) en relación con el último párrafo de dicho </w:t>
      </w:r>
      <w:r w:rsidR="00870A33" w:rsidRPr="00DC5989">
        <w:rPr>
          <w:rFonts w:ascii="Arial" w:eastAsia="Arial" w:hAnsi="Arial" w:cs="Arial"/>
          <w:spacing w:val="-1"/>
          <w:sz w:val="22"/>
          <w:szCs w:val="22"/>
        </w:rPr>
        <w:t>número</w:t>
      </w:r>
      <w:r w:rsidRPr="00DC5989">
        <w:rPr>
          <w:rFonts w:ascii="Arial" w:eastAsia="Arial" w:hAnsi="Arial" w:cs="Arial"/>
          <w:spacing w:val="-1"/>
          <w:sz w:val="22"/>
          <w:szCs w:val="22"/>
        </w:rPr>
        <w:t xml:space="preserve"> y artículo, todos ellos de la Ley 39/2015, de 1 de octubre, del procedimiento administrativo común de las administraciones públicas facultan la modificación propuesta.</w:t>
      </w:r>
    </w:p>
    <w:p w:rsidR="006B43C5" w:rsidRPr="00DC5989" w:rsidRDefault="006B43C5" w:rsidP="006B43C5">
      <w:pPr>
        <w:spacing w:before="120" w:after="120" w:line="276" w:lineRule="auto"/>
        <w:jc w:val="both"/>
        <w:rPr>
          <w:rFonts w:ascii="Arial" w:eastAsia="Arial" w:hAnsi="Arial" w:cs="Arial"/>
          <w:spacing w:val="-1"/>
          <w:sz w:val="22"/>
          <w:szCs w:val="22"/>
        </w:rPr>
      </w:pPr>
    </w:p>
    <w:p w:rsidR="006B43C5" w:rsidRPr="00DC5989" w:rsidRDefault="006B43C5" w:rsidP="006B43C5">
      <w:pPr>
        <w:spacing w:before="120" w:after="120" w:line="276" w:lineRule="auto"/>
        <w:jc w:val="both"/>
        <w:rPr>
          <w:rFonts w:ascii="Arial" w:eastAsia="Arial" w:hAnsi="Arial" w:cs="Arial"/>
          <w:spacing w:val="-1"/>
          <w:sz w:val="22"/>
          <w:szCs w:val="22"/>
        </w:rPr>
      </w:pPr>
      <w:r w:rsidRPr="00DC5989">
        <w:rPr>
          <w:rFonts w:ascii="Arial" w:eastAsia="Arial" w:hAnsi="Arial" w:cs="Arial"/>
          <w:spacing w:val="-1"/>
          <w:sz w:val="22"/>
          <w:szCs w:val="22"/>
        </w:rPr>
        <w:t xml:space="preserve">2.- Respecto de la </w:t>
      </w:r>
      <w:r w:rsidRPr="00DC5989">
        <w:rPr>
          <w:rFonts w:ascii="Arial" w:eastAsia="Arial" w:hAnsi="Arial" w:cs="Arial"/>
          <w:b/>
          <w:spacing w:val="-1"/>
          <w:sz w:val="22"/>
          <w:szCs w:val="22"/>
        </w:rPr>
        <w:t>competencia del Departamento de Trabajo y Empleo</w:t>
      </w:r>
      <w:r w:rsidRPr="00DC5989">
        <w:rPr>
          <w:rFonts w:ascii="Arial" w:eastAsia="Arial" w:hAnsi="Arial" w:cs="Arial"/>
          <w:spacing w:val="-1"/>
          <w:sz w:val="22"/>
          <w:szCs w:val="22"/>
        </w:rPr>
        <w:t xml:space="preserve"> para proponer esta norma, el mismo se halla legitimado en base al carácter laboral de la materia, en virtud del Decreto 18/2020, de 6 de septiembre, del Lehendakari, de creación, supresión y modificación de los Departamentos de la Administración de la Comunidad Autónoma del País Vasco y de determinación de funciones y áreas de actuación de los mismos., artículo 6. Concretamente, le compete la dirección y gestión del Registro Especial de Asociaciones de Trabajo Autónomo en la Comunidad contemplado en la Ley 20/2007, de 11 de julio, del Estatuto del Trabajador Autónomo, de conformidad con el artículo 11 del Decreto 7/2021, de 19 de enero, por el que se establece la estructura orgánica y funcional del Departamento de Trabajo y Empleo.</w:t>
      </w:r>
    </w:p>
    <w:p w:rsidR="006B43C5" w:rsidRPr="00DC5989" w:rsidRDefault="006B43C5" w:rsidP="006B43C5">
      <w:pPr>
        <w:spacing w:line="276" w:lineRule="auto"/>
        <w:jc w:val="both"/>
        <w:rPr>
          <w:rFonts w:ascii="Arial" w:eastAsia="Arial" w:hAnsi="Arial" w:cs="Arial"/>
          <w:spacing w:val="-1"/>
          <w:sz w:val="22"/>
          <w:szCs w:val="22"/>
        </w:rPr>
      </w:pPr>
    </w:p>
    <w:p w:rsidR="00213009" w:rsidRPr="00DC5989" w:rsidRDefault="00451F7B"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lastRenderedPageBreak/>
        <w:t xml:space="preserve">3.- En relación con los principios de buena regulación, por todo lo expuesto, además de los expuestos de necesidad y eficacia en relación con el fin perseguido y la </w:t>
      </w:r>
      <w:r w:rsidR="00870A33" w:rsidRPr="00DC5989">
        <w:rPr>
          <w:rFonts w:ascii="Arial" w:eastAsia="Arial" w:hAnsi="Arial" w:cs="Arial"/>
          <w:spacing w:val="-1"/>
          <w:sz w:val="22"/>
          <w:szCs w:val="22"/>
        </w:rPr>
        <w:t>adecuación</w:t>
      </w:r>
      <w:r w:rsidRPr="00DC5989">
        <w:rPr>
          <w:rFonts w:ascii="Arial" w:eastAsia="Arial" w:hAnsi="Arial" w:cs="Arial"/>
          <w:spacing w:val="-1"/>
          <w:sz w:val="22"/>
          <w:szCs w:val="22"/>
        </w:rPr>
        <w:t xml:space="preserve"> del medio instrumental para ello, la modificación propuesta responde al principio de proporcionalidad, siendo la imprescindible para asegurar un mínima seguridad jurídica, evitando e</w:t>
      </w:r>
      <w:r w:rsidR="000F4DC6" w:rsidRPr="00DC5989">
        <w:rPr>
          <w:rFonts w:ascii="Arial" w:eastAsia="Arial" w:hAnsi="Arial" w:cs="Arial"/>
          <w:spacing w:val="-1"/>
          <w:sz w:val="22"/>
          <w:szCs w:val="22"/>
        </w:rPr>
        <w:t>l cumplimiento de un requisito con la exigencia que supone la firma cualificada. En consecuencia, se aligera la carga administrativa que supone su cumplimiento. Con ello se da cumplimiento efectivo a lo prevenido por el artículo 129 de la norma procedimental básica estatal referida en relación con el artículo 10.3 de la Ley 6/2022.</w:t>
      </w:r>
    </w:p>
    <w:p w:rsidR="00451F7B" w:rsidRPr="00DC5989" w:rsidRDefault="00451F7B" w:rsidP="00627916">
      <w:pPr>
        <w:spacing w:line="276" w:lineRule="auto"/>
        <w:jc w:val="both"/>
        <w:rPr>
          <w:rFonts w:ascii="Arial" w:eastAsia="Arial" w:hAnsi="Arial" w:cs="Arial"/>
          <w:spacing w:val="-1"/>
          <w:sz w:val="22"/>
          <w:szCs w:val="22"/>
        </w:rPr>
      </w:pPr>
    </w:p>
    <w:p w:rsidR="00627916" w:rsidRPr="00DC5989" w:rsidRDefault="00197CE1" w:rsidP="00627916">
      <w:pPr>
        <w:pStyle w:val="Prrafodelista"/>
        <w:spacing w:line="276" w:lineRule="auto"/>
        <w:jc w:val="both"/>
        <w:rPr>
          <w:rFonts w:ascii="Arial" w:eastAsia="Arial" w:hAnsi="Arial" w:cs="Arial"/>
          <w:b/>
          <w:spacing w:val="-1"/>
          <w:sz w:val="22"/>
          <w:szCs w:val="22"/>
          <w:u w:val="single"/>
        </w:rPr>
      </w:pPr>
      <w:r w:rsidRPr="00DC5989">
        <w:rPr>
          <w:rFonts w:ascii="Arial" w:eastAsia="Arial" w:hAnsi="Arial" w:cs="Arial"/>
          <w:b/>
          <w:spacing w:val="-1"/>
          <w:sz w:val="22"/>
          <w:szCs w:val="22"/>
          <w:u w:val="single"/>
        </w:rPr>
        <w:t>b</w:t>
      </w:r>
      <w:r w:rsidR="00627916" w:rsidRPr="00DC5989">
        <w:rPr>
          <w:rFonts w:ascii="Arial" w:eastAsia="Arial" w:hAnsi="Arial" w:cs="Arial"/>
          <w:b/>
          <w:spacing w:val="-1"/>
          <w:sz w:val="22"/>
          <w:szCs w:val="22"/>
          <w:u w:val="single"/>
        </w:rPr>
        <w:t>).- Repercusión en el ordenamiento jurídico.</w:t>
      </w:r>
    </w:p>
    <w:p w:rsidR="00627916" w:rsidRPr="00DC5989" w:rsidRDefault="00627916" w:rsidP="00627916">
      <w:pPr>
        <w:pStyle w:val="Prrafodelista"/>
        <w:spacing w:line="276" w:lineRule="auto"/>
        <w:jc w:val="both"/>
        <w:rPr>
          <w:rFonts w:ascii="Arial" w:eastAsia="Arial" w:hAnsi="Arial" w:cs="Arial"/>
          <w:b/>
          <w:spacing w:val="-1"/>
          <w:sz w:val="22"/>
          <w:szCs w:val="22"/>
        </w:rPr>
      </w:pPr>
    </w:p>
    <w:p w:rsidR="00627916" w:rsidRPr="00DC5989" w:rsidRDefault="00627916" w:rsidP="00627916">
      <w:pPr>
        <w:spacing w:before="120" w:after="120" w:line="276" w:lineRule="auto"/>
        <w:jc w:val="both"/>
        <w:rPr>
          <w:rFonts w:ascii="Arial" w:hAnsi="Arial" w:cs="Arial"/>
          <w:sz w:val="22"/>
          <w:szCs w:val="22"/>
        </w:rPr>
      </w:pPr>
      <w:r w:rsidRPr="00DC5989">
        <w:rPr>
          <w:rFonts w:ascii="Arial" w:hAnsi="Arial" w:cs="Arial"/>
          <w:sz w:val="22"/>
          <w:szCs w:val="22"/>
        </w:rPr>
        <w:t>Se modifica el Reglamento de organización y el funcionamiento del Registro de Asociaciones Profesionales de Personas Trabajadoras Autónomas de Euskadi, aprobados por el Decreto 181/2021, de 22 de mayo.</w:t>
      </w:r>
    </w:p>
    <w:p w:rsidR="00197CE1" w:rsidRPr="00DC5989" w:rsidRDefault="00197CE1" w:rsidP="00627916">
      <w:pPr>
        <w:spacing w:before="120" w:after="120" w:line="276" w:lineRule="auto"/>
        <w:jc w:val="both"/>
        <w:rPr>
          <w:rFonts w:ascii="Arial" w:hAnsi="Arial" w:cs="Arial"/>
          <w:sz w:val="22"/>
          <w:szCs w:val="22"/>
        </w:rPr>
      </w:pPr>
    </w:p>
    <w:p w:rsidR="00197CE1" w:rsidRPr="00DC5989" w:rsidRDefault="00197CE1" w:rsidP="0078101B">
      <w:pPr>
        <w:pStyle w:val="Prrafodelista"/>
        <w:numPr>
          <w:ilvl w:val="0"/>
          <w:numId w:val="4"/>
        </w:numPr>
        <w:spacing w:before="120" w:after="120" w:line="276" w:lineRule="auto"/>
        <w:jc w:val="both"/>
        <w:rPr>
          <w:rFonts w:ascii="Arial" w:hAnsi="Arial" w:cs="Arial"/>
          <w:b/>
          <w:sz w:val="22"/>
          <w:szCs w:val="22"/>
          <w:u w:val="single"/>
        </w:rPr>
      </w:pPr>
      <w:r w:rsidRPr="00DC5989">
        <w:rPr>
          <w:rFonts w:ascii="Arial" w:hAnsi="Arial" w:cs="Arial"/>
          <w:b/>
          <w:sz w:val="22"/>
          <w:szCs w:val="22"/>
          <w:u w:val="single"/>
        </w:rPr>
        <w:t>Evaluación de impacto, resultado o de otro tipo. Singularmente, impacto en función del género.</w:t>
      </w:r>
    </w:p>
    <w:p w:rsidR="00D718C6" w:rsidRPr="00DC5989" w:rsidRDefault="00D718C6" w:rsidP="00D718C6">
      <w:pPr>
        <w:pStyle w:val="Prrafodelista"/>
        <w:spacing w:before="120" w:after="120" w:line="276" w:lineRule="auto"/>
        <w:jc w:val="both"/>
        <w:rPr>
          <w:rFonts w:ascii="Arial" w:hAnsi="Arial" w:cs="Arial"/>
          <w:b/>
          <w:sz w:val="22"/>
          <w:szCs w:val="22"/>
          <w:u w:val="single"/>
        </w:rPr>
      </w:pPr>
    </w:p>
    <w:p w:rsidR="00D718C6" w:rsidRPr="00DC5989" w:rsidRDefault="00D718C6" w:rsidP="00D718C6">
      <w:pPr>
        <w:spacing w:before="120" w:after="120" w:line="276" w:lineRule="auto"/>
        <w:jc w:val="both"/>
        <w:rPr>
          <w:rFonts w:ascii="Arial" w:hAnsi="Arial" w:cs="Arial"/>
          <w:sz w:val="22"/>
          <w:szCs w:val="22"/>
        </w:rPr>
      </w:pPr>
      <w:r w:rsidRPr="00DC5989">
        <w:rPr>
          <w:rFonts w:ascii="Arial" w:hAnsi="Arial" w:cs="Arial"/>
          <w:sz w:val="22"/>
          <w:szCs w:val="22"/>
        </w:rPr>
        <w:t>No se prevén otros que los reseñados en la parte expositiva de la presente orden.</w:t>
      </w:r>
    </w:p>
    <w:p w:rsidR="00197CE1" w:rsidRPr="00DC5989" w:rsidRDefault="00197CE1" w:rsidP="00197CE1">
      <w:pPr>
        <w:spacing w:before="120" w:after="120" w:line="276" w:lineRule="auto"/>
        <w:jc w:val="both"/>
        <w:rPr>
          <w:rFonts w:ascii="Arial" w:hAnsi="Arial" w:cs="Arial"/>
          <w:sz w:val="22"/>
          <w:szCs w:val="22"/>
        </w:rPr>
      </w:pPr>
    </w:p>
    <w:p w:rsidR="00197CE1" w:rsidRPr="00DC5989" w:rsidRDefault="00197CE1" w:rsidP="0078101B">
      <w:pPr>
        <w:pStyle w:val="Prrafodelista"/>
        <w:numPr>
          <w:ilvl w:val="0"/>
          <w:numId w:val="4"/>
        </w:numPr>
        <w:spacing w:before="120" w:after="120" w:line="276" w:lineRule="auto"/>
        <w:jc w:val="both"/>
        <w:rPr>
          <w:rFonts w:ascii="Arial" w:hAnsi="Arial" w:cs="Arial"/>
          <w:b/>
          <w:sz w:val="22"/>
          <w:szCs w:val="22"/>
          <w:u w:val="single"/>
        </w:rPr>
      </w:pPr>
      <w:r w:rsidRPr="00DC5989">
        <w:rPr>
          <w:rFonts w:ascii="Arial" w:hAnsi="Arial" w:cs="Arial"/>
          <w:b/>
          <w:sz w:val="22"/>
          <w:szCs w:val="22"/>
          <w:u w:val="single"/>
        </w:rPr>
        <w:t>Aproximación sobre la posible incidencia presupuestaria en los presupuestos de la administración pública afectada y en el sector de actividad de que se trata.</w:t>
      </w:r>
    </w:p>
    <w:p w:rsidR="00197CE1" w:rsidRPr="00DC5989" w:rsidRDefault="00197CE1" w:rsidP="00197CE1">
      <w:pPr>
        <w:pStyle w:val="Prrafodelista"/>
        <w:rPr>
          <w:rFonts w:ascii="Arial" w:hAnsi="Arial" w:cs="Arial"/>
          <w:sz w:val="22"/>
          <w:szCs w:val="22"/>
        </w:rPr>
      </w:pPr>
    </w:p>
    <w:p w:rsidR="00197CE1" w:rsidRPr="00DC5989" w:rsidRDefault="00197CE1" w:rsidP="00197CE1">
      <w:pPr>
        <w:spacing w:before="120" w:after="120" w:line="276" w:lineRule="auto"/>
        <w:jc w:val="both"/>
        <w:rPr>
          <w:rFonts w:ascii="Arial" w:hAnsi="Arial" w:cs="Arial"/>
          <w:sz w:val="22"/>
          <w:szCs w:val="22"/>
        </w:rPr>
      </w:pPr>
      <w:r w:rsidRPr="00DC5989">
        <w:rPr>
          <w:rFonts w:ascii="Arial" w:hAnsi="Arial" w:cs="Arial"/>
          <w:sz w:val="22"/>
          <w:szCs w:val="22"/>
        </w:rPr>
        <w:t>No se prevé impacto presupuestario público, dado el programa informático sobre el que se apoya la previsión normativa (</w:t>
      </w:r>
      <w:r w:rsidR="00AA5A54" w:rsidRPr="00DC5989">
        <w:rPr>
          <w:rFonts w:ascii="Arial" w:hAnsi="Arial" w:cs="Arial"/>
          <w:sz w:val="22"/>
          <w:szCs w:val="22"/>
        </w:rPr>
        <w:t xml:space="preserve">el genérico de </w:t>
      </w:r>
      <w:r w:rsidRPr="00DC5989">
        <w:rPr>
          <w:rFonts w:ascii="Arial" w:hAnsi="Arial" w:cs="Arial"/>
          <w:sz w:val="22"/>
          <w:szCs w:val="22"/>
        </w:rPr>
        <w:t>“otros procedimientos” de Tramitagune)</w:t>
      </w:r>
      <w:r w:rsidR="00AA5A54" w:rsidRPr="00DC5989">
        <w:rPr>
          <w:rFonts w:ascii="Arial" w:hAnsi="Arial" w:cs="Arial"/>
          <w:sz w:val="22"/>
          <w:szCs w:val="22"/>
        </w:rPr>
        <w:t xml:space="preserve"> que admite ambos tipos de firma, avanzada y cualificada</w:t>
      </w:r>
      <w:r w:rsidR="00AF7145" w:rsidRPr="00DC5989">
        <w:rPr>
          <w:rFonts w:ascii="Arial" w:hAnsi="Arial" w:cs="Arial"/>
          <w:sz w:val="22"/>
          <w:szCs w:val="22"/>
        </w:rPr>
        <w:t>, como firmas válidas.</w:t>
      </w:r>
    </w:p>
    <w:p w:rsidR="0078101B" w:rsidRPr="00DC5989" w:rsidRDefault="0078101B" w:rsidP="00197CE1">
      <w:pPr>
        <w:spacing w:before="120" w:after="120" w:line="276" w:lineRule="auto"/>
        <w:jc w:val="both"/>
        <w:rPr>
          <w:rFonts w:ascii="Arial" w:hAnsi="Arial" w:cs="Arial"/>
          <w:sz w:val="22"/>
          <w:szCs w:val="22"/>
        </w:rPr>
      </w:pPr>
    </w:p>
    <w:p w:rsidR="00AA5A54" w:rsidRPr="00DC5989" w:rsidRDefault="00AA5A54" w:rsidP="00197CE1">
      <w:pPr>
        <w:spacing w:before="120" w:after="120" w:line="276" w:lineRule="auto"/>
        <w:jc w:val="both"/>
        <w:rPr>
          <w:rFonts w:ascii="Arial" w:hAnsi="Arial" w:cs="Arial"/>
          <w:sz w:val="22"/>
          <w:szCs w:val="22"/>
        </w:rPr>
      </w:pPr>
      <w:r w:rsidRPr="00DC5989">
        <w:rPr>
          <w:rFonts w:ascii="Arial" w:hAnsi="Arial" w:cs="Arial"/>
          <w:sz w:val="22"/>
          <w:szCs w:val="22"/>
        </w:rPr>
        <w:t>Desde la perspectiva del sector, facilita el cumplimiento de la acreditación de los requisitos establecidos, garantizando un nivel de seguridad jurídica suficiente, en el sentido anticipado, para la admisión de documentos que acceden al registro y la publicidad forma</w:t>
      </w:r>
      <w:r w:rsidR="00163584" w:rsidRPr="00DC5989">
        <w:rPr>
          <w:rFonts w:ascii="Arial" w:hAnsi="Arial" w:cs="Arial"/>
          <w:sz w:val="22"/>
          <w:szCs w:val="22"/>
        </w:rPr>
        <w:t>l</w:t>
      </w:r>
      <w:r w:rsidRPr="00DC5989">
        <w:rPr>
          <w:rFonts w:ascii="Arial" w:hAnsi="Arial" w:cs="Arial"/>
          <w:sz w:val="22"/>
          <w:szCs w:val="22"/>
        </w:rPr>
        <w:t xml:space="preserve"> que se despliegue en función de ellos. Aspecto especialmente significativo respecto de este tipo de organizaciones asociativas, por su estructura, funciones y fines.</w:t>
      </w:r>
    </w:p>
    <w:p w:rsidR="00AA5A54" w:rsidRPr="00DC5989" w:rsidRDefault="00AA5A54" w:rsidP="00197CE1">
      <w:pPr>
        <w:spacing w:before="120" w:after="120" w:line="276" w:lineRule="auto"/>
        <w:jc w:val="both"/>
        <w:rPr>
          <w:rFonts w:ascii="Arial" w:hAnsi="Arial" w:cs="Arial"/>
          <w:sz w:val="22"/>
          <w:szCs w:val="22"/>
        </w:rPr>
      </w:pPr>
    </w:p>
    <w:p w:rsidR="00AA5A54" w:rsidRPr="00DC5989" w:rsidRDefault="00AA5A54" w:rsidP="00197CE1">
      <w:pPr>
        <w:spacing w:before="120" w:after="120" w:line="276" w:lineRule="auto"/>
        <w:jc w:val="both"/>
        <w:rPr>
          <w:rFonts w:ascii="Arial" w:hAnsi="Arial" w:cs="Arial"/>
          <w:sz w:val="22"/>
          <w:szCs w:val="22"/>
        </w:rPr>
      </w:pPr>
      <w:r w:rsidRPr="00DC5989">
        <w:rPr>
          <w:rFonts w:ascii="Arial" w:hAnsi="Arial" w:cs="Arial"/>
          <w:sz w:val="22"/>
          <w:szCs w:val="22"/>
        </w:rPr>
        <w:t>En este sentido, se añade funcionalidad y operatividad a los interesados usuarios</w:t>
      </w:r>
      <w:r w:rsidR="002A3307" w:rsidRPr="00DC5989">
        <w:rPr>
          <w:rFonts w:ascii="Arial" w:hAnsi="Arial" w:cs="Arial"/>
          <w:sz w:val="22"/>
          <w:szCs w:val="22"/>
        </w:rPr>
        <w:t>.</w:t>
      </w:r>
    </w:p>
    <w:p w:rsidR="00627916" w:rsidRPr="00DC5989" w:rsidRDefault="00627916" w:rsidP="00627916">
      <w:pPr>
        <w:spacing w:line="276" w:lineRule="auto"/>
        <w:jc w:val="both"/>
        <w:rPr>
          <w:rFonts w:ascii="Arial" w:hAnsi="Arial" w:cs="Arial"/>
          <w:i/>
          <w:sz w:val="22"/>
          <w:szCs w:val="22"/>
          <w:u w:val="single"/>
        </w:rPr>
      </w:pPr>
    </w:p>
    <w:p w:rsidR="0078101B" w:rsidRPr="00DC5989" w:rsidRDefault="0078101B" w:rsidP="00627916">
      <w:pPr>
        <w:spacing w:line="276" w:lineRule="auto"/>
        <w:jc w:val="both"/>
        <w:rPr>
          <w:rFonts w:ascii="Arial" w:hAnsi="Arial" w:cs="Arial"/>
          <w:sz w:val="22"/>
          <w:szCs w:val="22"/>
        </w:rPr>
      </w:pPr>
      <w:r w:rsidRPr="00DC5989">
        <w:rPr>
          <w:rFonts w:ascii="Arial" w:hAnsi="Arial" w:cs="Arial"/>
          <w:sz w:val="22"/>
          <w:szCs w:val="22"/>
        </w:rPr>
        <w:t>Como se advierte sin dificultad, no tiene afección alguna por razón de género.</w:t>
      </w:r>
    </w:p>
    <w:p w:rsidR="0078101B" w:rsidRPr="00DC5989" w:rsidRDefault="0078101B" w:rsidP="00627916">
      <w:pPr>
        <w:spacing w:line="276" w:lineRule="auto"/>
        <w:jc w:val="both"/>
        <w:rPr>
          <w:rFonts w:ascii="Arial" w:hAnsi="Arial" w:cs="Arial"/>
          <w:i/>
          <w:sz w:val="22"/>
          <w:szCs w:val="22"/>
          <w:u w:val="single"/>
        </w:rPr>
      </w:pPr>
    </w:p>
    <w:p w:rsidR="0078101B" w:rsidRPr="00DC5989" w:rsidRDefault="0078101B" w:rsidP="00627916">
      <w:pPr>
        <w:pStyle w:val="Prrafodelista"/>
        <w:spacing w:line="276" w:lineRule="auto"/>
        <w:jc w:val="both"/>
        <w:rPr>
          <w:rFonts w:ascii="Arial" w:hAnsi="Arial" w:cs="Arial"/>
          <w:b/>
          <w:sz w:val="22"/>
          <w:szCs w:val="22"/>
          <w:u w:val="single"/>
        </w:rPr>
      </w:pPr>
    </w:p>
    <w:p w:rsidR="0078101B" w:rsidRPr="00DC5989" w:rsidRDefault="0078101B" w:rsidP="0078101B">
      <w:pPr>
        <w:pStyle w:val="Prrafodelista"/>
        <w:numPr>
          <w:ilvl w:val="0"/>
          <w:numId w:val="4"/>
        </w:numPr>
        <w:spacing w:before="120" w:after="120" w:line="276" w:lineRule="auto"/>
        <w:jc w:val="both"/>
        <w:rPr>
          <w:rFonts w:ascii="Arial" w:hAnsi="Arial" w:cs="Arial"/>
          <w:b/>
          <w:sz w:val="22"/>
          <w:szCs w:val="22"/>
          <w:u w:val="single"/>
        </w:rPr>
      </w:pPr>
      <w:r w:rsidRPr="00DC5989">
        <w:rPr>
          <w:rFonts w:ascii="Arial" w:hAnsi="Arial" w:cs="Arial"/>
          <w:b/>
          <w:sz w:val="22"/>
          <w:szCs w:val="22"/>
          <w:u w:val="single"/>
        </w:rPr>
        <w:lastRenderedPageBreak/>
        <w:t xml:space="preserve">Relación de trámites e informes </w:t>
      </w:r>
    </w:p>
    <w:p w:rsidR="0078101B" w:rsidRPr="00DC5989" w:rsidRDefault="0078101B" w:rsidP="0078101B">
      <w:pPr>
        <w:pStyle w:val="Prrafodelista"/>
        <w:spacing w:line="276" w:lineRule="auto"/>
        <w:jc w:val="both"/>
        <w:rPr>
          <w:rFonts w:ascii="Arial" w:hAnsi="Arial" w:cs="Arial"/>
          <w:b/>
          <w:sz w:val="22"/>
          <w:szCs w:val="22"/>
        </w:rPr>
      </w:pPr>
    </w:p>
    <w:p w:rsidR="0078101B" w:rsidRPr="00DC5989" w:rsidRDefault="0078101B" w:rsidP="0078101B">
      <w:pPr>
        <w:spacing w:before="120" w:after="120"/>
        <w:jc w:val="both"/>
        <w:rPr>
          <w:rFonts w:ascii="Arial" w:hAnsi="Arial" w:cs="Arial"/>
          <w:sz w:val="22"/>
          <w:szCs w:val="22"/>
        </w:rPr>
      </w:pPr>
      <w:r w:rsidRPr="00DC5989">
        <w:rPr>
          <w:rFonts w:ascii="Arial" w:hAnsi="Arial" w:cs="Arial"/>
          <w:sz w:val="22"/>
          <w:szCs w:val="22"/>
        </w:rPr>
        <w:t xml:space="preserve">Se prevén a continuación, los trámites e informes que, en principio, se </w:t>
      </w:r>
      <w:r w:rsidR="00831A1E" w:rsidRPr="00DC5989">
        <w:rPr>
          <w:rFonts w:ascii="Arial" w:hAnsi="Arial" w:cs="Arial"/>
          <w:sz w:val="22"/>
          <w:szCs w:val="22"/>
        </w:rPr>
        <w:t xml:space="preserve">estiman necesarios o </w:t>
      </w:r>
      <w:r w:rsidR="00870A33" w:rsidRPr="00DC5989">
        <w:rPr>
          <w:rFonts w:ascii="Arial" w:hAnsi="Arial" w:cs="Arial"/>
          <w:sz w:val="22"/>
          <w:szCs w:val="22"/>
        </w:rPr>
        <w:t>pertinentes</w:t>
      </w:r>
      <w:r w:rsidRPr="00DC5989">
        <w:rPr>
          <w:rFonts w:ascii="Arial" w:hAnsi="Arial" w:cs="Arial"/>
          <w:sz w:val="22"/>
          <w:szCs w:val="22"/>
        </w:rPr>
        <w:t xml:space="preserve"> para el proyecto de modificación previsto.</w:t>
      </w:r>
      <w:r w:rsidR="00831A1E" w:rsidRPr="00DC5989">
        <w:rPr>
          <w:rFonts w:ascii="Arial" w:hAnsi="Arial" w:cs="Arial"/>
          <w:sz w:val="22"/>
          <w:szCs w:val="22"/>
        </w:rPr>
        <w:t xml:space="preserve"> </w:t>
      </w:r>
    </w:p>
    <w:p w:rsidR="009A3790" w:rsidRPr="00DC5989" w:rsidRDefault="009A3790" w:rsidP="0078101B">
      <w:pPr>
        <w:spacing w:before="120" w:after="120"/>
        <w:jc w:val="both"/>
        <w:rPr>
          <w:rFonts w:ascii="Arial" w:hAnsi="Arial" w:cs="Arial"/>
          <w:sz w:val="22"/>
          <w:szCs w:val="22"/>
        </w:rPr>
      </w:pPr>
    </w:p>
    <w:p w:rsidR="00587125" w:rsidRPr="00DC5989" w:rsidRDefault="009A3790" w:rsidP="00587125">
      <w:pPr>
        <w:pStyle w:val="Prrafodelista"/>
        <w:numPr>
          <w:ilvl w:val="0"/>
          <w:numId w:val="1"/>
        </w:numPr>
        <w:spacing w:before="120"/>
        <w:jc w:val="both"/>
        <w:rPr>
          <w:rFonts w:ascii="Arial" w:hAnsi="Arial" w:cs="Arial"/>
          <w:sz w:val="22"/>
          <w:szCs w:val="22"/>
        </w:rPr>
      </w:pPr>
      <w:r w:rsidRPr="00DC5989">
        <w:rPr>
          <w:rFonts w:ascii="Arial" w:hAnsi="Arial" w:cs="Arial"/>
          <w:sz w:val="22"/>
          <w:szCs w:val="22"/>
        </w:rPr>
        <w:t>El proyecto de decreto se someterá a aprobación previa de la Consejera de Trabajo y Empleo, de acuerdo con lo dispuesto en el artículo 15 de la Ley 6/2022</w:t>
      </w:r>
      <w:r w:rsidR="00587125" w:rsidRPr="00DC5989">
        <w:rPr>
          <w:rFonts w:ascii="Arial" w:hAnsi="Arial" w:cs="Arial"/>
          <w:sz w:val="22"/>
          <w:szCs w:val="22"/>
        </w:rPr>
        <w:t>, mediante</w:t>
      </w:r>
      <w:r w:rsidRPr="00DC5989">
        <w:rPr>
          <w:rFonts w:ascii="Arial" w:hAnsi="Arial" w:cs="Arial"/>
          <w:sz w:val="22"/>
          <w:szCs w:val="22"/>
        </w:rPr>
        <w:t xml:space="preserve"> la orden de aprobación previa, junto con el proyecto normativo</w:t>
      </w:r>
      <w:r w:rsidR="00587125" w:rsidRPr="00DC5989">
        <w:rPr>
          <w:rFonts w:ascii="Arial" w:hAnsi="Arial" w:cs="Arial"/>
          <w:sz w:val="22"/>
          <w:szCs w:val="22"/>
        </w:rPr>
        <w:t>.</w:t>
      </w:r>
    </w:p>
    <w:p w:rsidR="00587125" w:rsidRPr="00DC5989" w:rsidRDefault="00587125" w:rsidP="00587125">
      <w:pPr>
        <w:pStyle w:val="Prrafodelista"/>
        <w:spacing w:before="120"/>
        <w:ind w:left="360"/>
        <w:jc w:val="both"/>
        <w:rPr>
          <w:rFonts w:ascii="Arial" w:hAnsi="Arial" w:cs="Arial"/>
          <w:sz w:val="22"/>
          <w:szCs w:val="22"/>
        </w:rPr>
      </w:pPr>
    </w:p>
    <w:p w:rsidR="00587125" w:rsidRPr="00DC5989" w:rsidRDefault="00587125" w:rsidP="00587125">
      <w:pPr>
        <w:pStyle w:val="Prrafodelista"/>
        <w:numPr>
          <w:ilvl w:val="0"/>
          <w:numId w:val="1"/>
        </w:numPr>
        <w:spacing w:before="120" w:after="120"/>
        <w:jc w:val="both"/>
        <w:rPr>
          <w:rFonts w:ascii="Arial" w:hAnsi="Arial" w:cs="Arial"/>
          <w:sz w:val="22"/>
          <w:szCs w:val="22"/>
        </w:rPr>
      </w:pPr>
      <w:r w:rsidRPr="00DC5989">
        <w:rPr>
          <w:rFonts w:ascii="Arial" w:hAnsi="Arial" w:cs="Arial"/>
          <w:sz w:val="22"/>
          <w:szCs w:val="22"/>
        </w:rPr>
        <w:t xml:space="preserve">La Orden deberá completarse con los siguientes </w:t>
      </w:r>
      <w:r w:rsidRPr="00DC5989">
        <w:rPr>
          <w:rFonts w:ascii="Arial" w:hAnsi="Arial" w:cs="Arial"/>
          <w:b/>
          <w:sz w:val="22"/>
          <w:szCs w:val="22"/>
        </w:rPr>
        <w:t>informes</w:t>
      </w:r>
      <w:r w:rsidR="00C369FC" w:rsidRPr="00DC5989">
        <w:rPr>
          <w:rFonts w:ascii="Arial" w:hAnsi="Arial" w:cs="Arial"/>
          <w:b/>
          <w:sz w:val="22"/>
          <w:szCs w:val="22"/>
        </w:rPr>
        <w:t xml:space="preserve"> preceptivos</w:t>
      </w:r>
      <w:r w:rsidRPr="00DC5989">
        <w:rPr>
          <w:rFonts w:ascii="Arial" w:hAnsi="Arial" w:cs="Arial"/>
          <w:sz w:val="22"/>
          <w:szCs w:val="22"/>
        </w:rPr>
        <w:t>:</w:t>
      </w:r>
    </w:p>
    <w:p w:rsidR="00587125" w:rsidRPr="00DC5989" w:rsidRDefault="00587125" w:rsidP="00587125">
      <w:pPr>
        <w:pStyle w:val="Prrafodelista"/>
        <w:rPr>
          <w:rFonts w:ascii="Arial" w:hAnsi="Arial" w:cs="Arial"/>
          <w:sz w:val="22"/>
          <w:szCs w:val="22"/>
        </w:rPr>
      </w:pPr>
    </w:p>
    <w:p w:rsidR="00587125" w:rsidRPr="00DC5989" w:rsidRDefault="0082541D" w:rsidP="00587125">
      <w:pPr>
        <w:pStyle w:val="Prrafodelista"/>
        <w:numPr>
          <w:ilvl w:val="1"/>
          <w:numId w:val="1"/>
        </w:numPr>
        <w:spacing w:before="120" w:after="120" w:line="276" w:lineRule="auto"/>
        <w:jc w:val="both"/>
        <w:rPr>
          <w:rFonts w:ascii="Arial" w:hAnsi="Arial" w:cs="Arial"/>
          <w:sz w:val="22"/>
          <w:szCs w:val="22"/>
        </w:rPr>
      </w:pPr>
      <w:r w:rsidRPr="00DC5989">
        <w:rPr>
          <w:rFonts w:ascii="Arial" w:hAnsi="Arial" w:cs="Arial"/>
          <w:sz w:val="22"/>
          <w:szCs w:val="22"/>
        </w:rPr>
        <w:t>Informe</w:t>
      </w:r>
      <w:r w:rsidR="00587125" w:rsidRPr="00DC5989">
        <w:rPr>
          <w:rFonts w:ascii="Arial" w:hAnsi="Arial" w:cs="Arial"/>
          <w:sz w:val="22"/>
          <w:szCs w:val="22"/>
        </w:rPr>
        <w:t xml:space="preserve"> de la Dirección de Normalización Lingüística de las Administraciones Públicas de la Viceconsejería de Política Lingüística del Departamento de Departamento de Cultura y Política Lingüística, en virtud de lo determinado en el artículo 2 del Decreto 233/2012, de 6 de noviembre, por el que se establece el régimen al que ha de ajustarse el trámite de evacuación de informe por el Departamento de Cultura y Política Lingüística en el marco del procedimiento de elaboración de di</w:t>
      </w:r>
      <w:r w:rsidRPr="00DC5989">
        <w:rPr>
          <w:rFonts w:ascii="Arial" w:hAnsi="Arial" w:cs="Arial"/>
          <w:sz w:val="22"/>
          <w:szCs w:val="22"/>
        </w:rPr>
        <w:t>sposiciones de carácter general; así como el artículo 8.1 de Ley 10/1982, de 24 de noviembre, básica de normalización del uso del Euskera, modificado por la Disposición Final Primera de la Ley 6/2022.</w:t>
      </w:r>
    </w:p>
    <w:p w:rsidR="00587125" w:rsidRPr="00DC5989" w:rsidRDefault="00587125" w:rsidP="00587125">
      <w:pPr>
        <w:pStyle w:val="Prrafodelista"/>
        <w:spacing w:before="120" w:after="120" w:line="276" w:lineRule="auto"/>
        <w:ind w:left="1080"/>
        <w:jc w:val="both"/>
        <w:rPr>
          <w:rFonts w:ascii="Arial" w:hAnsi="Arial" w:cs="Arial"/>
          <w:sz w:val="22"/>
          <w:szCs w:val="22"/>
        </w:rPr>
      </w:pPr>
    </w:p>
    <w:p w:rsidR="00587125" w:rsidRPr="00DC5989" w:rsidRDefault="00587125" w:rsidP="00587125">
      <w:pPr>
        <w:pStyle w:val="Prrafodelista"/>
        <w:numPr>
          <w:ilvl w:val="1"/>
          <w:numId w:val="1"/>
        </w:numPr>
        <w:spacing w:before="120" w:after="120" w:line="276" w:lineRule="auto"/>
        <w:jc w:val="both"/>
        <w:rPr>
          <w:rFonts w:ascii="Arial" w:hAnsi="Arial" w:cs="Arial"/>
          <w:sz w:val="22"/>
          <w:szCs w:val="22"/>
        </w:rPr>
      </w:pPr>
      <w:r w:rsidRPr="00DC5989">
        <w:rPr>
          <w:rFonts w:ascii="Arial" w:hAnsi="Arial" w:cs="Arial"/>
          <w:sz w:val="22"/>
          <w:szCs w:val="22"/>
        </w:rPr>
        <w:t xml:space="preserve">Informe jurídico emitido por la Dirección de Servicios del Departamento de Trabajo y </w:t>
      </w:r>
      <w:r w:rsidR="003D1502" w:rsidRPr="00DC5989">
        <w:rPr>
          <w:rFonts w:ascii="Arial" w:hAnsi="Arial" w:cs="Arial"/>
          <w:sz w:val="22"/>
          <w:szCs w:val="22"/>
        </w:rPr>
        <w:t>Empleo</w:t>
      </w:r>
      <w:r w:rsidRPr="00DC5989">
        <w:rPr>
          <w:rFonts w:ascii="Arial" w:hAnsi="Arial" w:cs="Arial"/>
          <w:sz w:val="22"/>
          <w:szCs w:val="22"/>
        </w:rPr>
        <w:t>, con base en lo dispuesto en el artículo 15 de la Ley 6/2022, de 30 de junio, del Procedimiento de Elaboración de las Disposiciones de Carácter General, en relación con lo dispuesto en el artículo 10 del Decreto 144/2017, de 25 de abril, del Servicio Jurídico del Gobierno Vasco.</w:t>
      </w:r>
    </w:p>
    <w:p w:rsidR="00C369FC" w:rsidRPr="00DC5989" w:rsidRDefault="00C369FC" w:rsidP="00C369FC">
      <w:pPr>
        <w:pStyle w:val="Prrafodelista"/>
        <w:rPr>
          <w:rFonts w:ascii="Arial" w:hAnsi="Arial" w:cs="Arial"/>
          <w:sz w:val="22"/>
          <w:szCs w:val="22"/>
        </w:rPr>
      </w:pPr>
    </w:p>
    <w:p w:rsidR="00C369FC" w:rsidRPr="00DC5989" w:rsidRDefault="00C369FC" w:rsidP="00587125">
      <w:pPr>
        <w:pStyle w:val="Prrafodelista"/>
        <w:numPr>
          <w:ilvl w:val="1"/>
          <w:numId w:val="1"/>
        </w:numPr>
        <w:spacing w:before="120" w:after="120" w:line="276" w:lineRule="auto"/>
        <w:jc w:val="both"/>
        <w:rPr>
          <w:rFonts w:ascii="Arial" w:hAnsi="Arial" w:cs="Arial"/>
          <w:sz w:val="22"/>
          <w:szCs w:val="22"/>
        </w:rPr>
      </w:pPr>
      <w:r w:rsidRPr="00DC5989">
        <w:rPr>
          <w:rFonts w:ascii="Arial" w:hAnsi="Arial" w:cs="Arial"/>
          <w:sz w:val="22"/>
          <w:szCs w:val="22"/>
        </w:rPr>
        <w:t>Informe de legalidad emitido por el Servicio Jurídico Central del Gobierno Vasco, de conformidad con lo previsto al respecto en la Ley 7/2016, de 2 de junio, de Ordenación del Servicio Jurídico del Gobierno Vasco; siguiendo el mismo criterio que el utilizado para el informe de legalidad de la norma que se pretende modificar.</w:t>
      </w:r>
    </w:p>
    <w:p w:rsidR="00587125" w:rsidRPr="00DC5989" w:rsidRDefault="00587125" w:rsidP="00587125">
      <w:pPr>
        <w:pStyle w:val="Prrafodelista"/>
        <w:rPr>
          <w:rFonts w:ascii="Arial" w:hAnsi="Arial" w:cs="Arial"/>
          <w:sz w:val="22"/>
          <w:szCs w:val="22"/>
        </w:rPr>
      </w:pPr>
    </w:p>
    <w:p w:rsidR="00587125" w:rsidRPr="00DC5989" w:rsidRDefault="00587125" w:rsidP="00C369FC">
      <w:pPr>
        <w:pStyle w:val="Prrafodelista"/>
        <w:numPr>
          <w:ilvl w:val="1"/>
          <w:numId w:val="1"/>
        </w:numPr>
        <w:spacing w:before="120" w:after="120" w:line="276" w:lineRule="auto"/>
        <w:jc w:val="both"/>
        <w:rPr>
          <w:rFonts w:ascii="Arial" w:hAnsi="Arial" w:cs="Arial"/>
          <w:sz w:val="22"/>
          <w:szCs w:val="22"/>
        </w:rPr>
      </w:pPr>
      <w:r w:rsidRPr="00DC5989">
        <w:rPr>
          <w:rStyle w:val="Textoennegrita"/>
          <w:rFonts w:ascii="Arial" w:hAnsi="Arial" w:cs="Arial"/>
          <w:b w:val="0"/>
          <w:sz w:val="22"/>
          <w:szCs w:val="22"/>
        </w:rPr>
        <w:t>Informe</w:t>
      </w:r>
      <w:r w:rsidR="00C369FC" w:rsidRPr="00DC5989">
        <w:rPr>
          <w:rStyle w:val="Textoennegrita"/>
          <w:rFonts w:ascii="Arial" w:hAnsi="Arial" w:cs="Arial"/>
          <w:b w:val="0"/>
          <w:sz w:val="22"/>
          <w:szCs w:val="22"/>
        </w:rPr>
        <w:t xml:space="preserve"> </w:t>
      </w:r>
      <w:r w:rsidRPr="00DC5989">
        <w:rPr>
          <w:rStyle w:val="Textoennegrita"/>
          <w:rFonts w:ascii="Arial" w:hAnsi="Arial" w:cs="Arial"/>
          <w:b w:val="0"/>
          <w:sz w:val="22"/>
          <w:szCs w:val="22"/>
        </w:rPr>
        <w:t>de Control-Económico Normativo a emitir por la Oficina de Control Económico, según lo establecido en el Capítulo IV del Título III del Texto Refundido de la Ley de Control Económico y Contabilidad de la Comunidad Autónoma de Euskadi, aprobado mediante el Decreto Legislativo 2/2017, de 19 de octubre.</w:t>
      </w:r>
    </w:p>
    <w:p w:rsidR="00587125" w:rsidRPr="00DC5989" w:rsidRDefault="00587125" w:rsidP="00587125">
      <w:pPr>
        <w:pStyle w:val="Prrafodelista"/>
        <w:spacing w:before="120"/>
        <w:ind w:left="360"/>
        <w:jc w:val="both"/>
        <w:rPr>
          <w:rFonts w:ascii="Arial" w:hAnsi="Arial" w:cs="Arial"/>
          <w:sz w:val="22"/>
          <w:szCs w:val="22"/>
        </w:rPr>
      </w:pPr>
    </w:p>
    <w:p w:rsidR="00C369FC" w:rsidRPr="00DC5989" w:rsidRDefault="006E7136" w:rsidP="00587125">
      <w:pPr>
        <w:pStyle w:val="Prrafodelista"/>
        <w:numPr>
          <w:ilvl w:val="0"/>
          <w:numId w:val="1"/>
        </w:numPr>
        <w:spacing w:before="120"/>
        <w:jc w:val="both"/>
        <w:rPr>
          <w:rFonts w:ascii="Arial" w:hAnsi="Arial" w:cs="Arial"/>
          <w:b/>
          <w:sz w:val="22"/>
          <w:szCs w:val="22"/>
        </w:rPr>
      </w:pPr>
      <w:r w:rsidRPr="00DC5989">
        <w:rPr>
          <w:rFonts w:ascii="Arial" w:hAnsi="Arial" w:cs="Arial"/>
          <w:b/>
          <w:sz w:val="22"/>
          <w:szCs w:val="22"/>
        </w:rPr>
        <w:t>No procede la emisión de los siguientes informes preceptivos:</w:t>
      </w:r>
    </w:p>
    <w:p w:rsidR="001B61F5" w:rsidRPr="00DC5989" w:rsidRDefault="001B61F5" w:rsidP="001B61F5">
      <w:pPr>
        <w:pStyle w:val="Prrafodelista"/>
        <w:spacing w:before="120"/>
        <w:ind w:left="360"/>
        <w:jc w:val="both"/>
        <w:rPr>
          <w:rFonts w:ascii="Arial" w:hAnsi="Arial" w:cs="Arial"/>
          <w:b/>
          <w:sz w:val="22"/>
          <w:szCs w:val="22"/>
        </w:rPr>
      </w:pPr>
    </w:p>
    <w:p w:rsidR="006E7136" w:rsidRPr="00DC5989" w:rsidRDefault="006E7136" w:rsidP="006E7136">
      <w:pPr>
        <w:pStyle w:val="Prrafodelista"/>
        <w:numPr>
          <w:ilvl w:val="1"/>
          <w:numId w:val="1"/>
        </w:numPr>
        <w:spacing w:before="120"/>
        <w:jc w:val="both"/>
        <w:rPr>
          <w:rFonts w:ascii="Arial" w:hAnsi="Arial" w:cs="Arial"/>
          <w:sz w:val="22"/>
          <w:szCs w:val="22"/>
        </w:rPr>
      </w:pPr>
      <w:r w:rsidRPr="00DC5989">
        <w:rPr>
          <w:rFonts w:ascii="Arial" w:hAnsi="Arial" w:cs="Arial"/>
          <w:sz w:val="22"/>
          <w:szCs w:val="22"/>
        </w:rPr>
        <w:t xml:space="preserve">Del Consejo de Relaciones Laborales y del Consejo Económico y Social Vasco por no consistir en materia sujeta su competencia, en coherencia con </w:t>
      </w:r>
      <w:r w:rsidRPr="00DC5989">
        <w:rPr>
          <w:rFonts w:ascii="Arial" w:hAnsi="Arial" w:cs="Arial"/>
          <w:sz w:val="22"/>
          <w:szCs w:val="22"/>
        </w:rPr>
        <w:lastRenderedPageBreak/>
        <w:t>lo informado en la elaboración de la norma sujeta a modificación; de conformidad con el artículo 20 de la Ley 6/2022.</w:t>
      </w:r>
    </w:p>
    <w:p w:rsidR="001B61F5" w:rsidRPr="00DC5989" w:rsidRDefault="001B61F5" w:rsidP="001B61F5">
      <w:pPr>
        <w:pStyle w:val="Prrafodelista"/>
        <w:spacing w:before="120"/>
        <w:ind w:left="1080"/>
        <w:jc w:val="both"/>
        <w:rPr>
          <w:rFonts w:ascii="Arial" w:hAnsi="Arial" w:cs="Arial"/>
          <w:sz w:val="22"/>
          <w:szCs w:val="22"/>
        </w:rPr>
      </w:pPr>
    </w:p>
    <w:p w:rsidR="006E7136" w:rsidRPr="00DC5989" w:rsidRDefault="006E7136" w:rsidP="006E7136">
      <w:pPr>
        <w:pStyle w:val="Prrafodelista"/>
        <w:numPr>
          <w:ilvl w:val="1"/>
          <w:numId w:val="1"/>
        </w:numPr>
        <w:spacing w:before="120"/>
        <w:jc w:val="both"/>
        <w:rPr>
          <w:rFonts w:ascii="Arial" w:hAnsi="Arial" w:cs="Arial"/>
          <w:sz w:val="22"/>
          <w:szCs w:val="22"/>
        </w:rPr>
      </w:pPr>
      <w:r w:rsidRPr="00DC5989">
        <w:rPr>
          <w:rFonts w:ascii="Arial" w:hAnsi="Arial" w:cs="Arial"/>
          <w:sz w:val="22"/>
          <w:szCs w:val="22"/>
        </w:rPr>
        <w:t>Informe de la Comisión de Gobiernos Locales por no afectar a la competencias propias de los municipios, de acuerdo con lo previsto en los artículos 90 y 91 de la Ley 2/2016, de 7 de abril, de Instituciones Locales de Euskadi.</w:t>
      </w:r>
    </w:p>
    <w:p w:rsidR="00FF666A" w:rsidRPr="00DC5989" w:rsidRDefault="00FF666A" w:rsidP="00FF666A">
      <w:pPr>
        <w:pStyle w:val="Prrafodelista"/>
        <w:rPr>
          <w:rFonts w:ascii="Arial" w:hAnsi="Arial" w:cs="Arial"/>
          <w:sz w:val="22"/>
          <w:szCs w:val="22"/>
        </w:rPr>
      </w:pPr>
    </w:p>
    <w:p w:rsidR="00FF666A" w:rsidRPr="00DC5989" w:rsidRDefault="00FF666A" w:rsidP="00FF666A">
      <w:pPr>
        <w:pStyle w:val="Prrafodelista"/>
        <w:numPr>
          <w:ilvl w:val="1"/>
          <w:numId w:val="1"/>
        </w:numPr>
        <w:spacing w:before="120"/>
        <w:jc w:val="both"/>
        <w:rPr>
          <w:rFonts w:ascii="Arial" w:hAnsi="Arial" w:cs="Arial"/>
          <w:sz w:val="22"/>
          <w:szCs w:val="22"/>
        </w:rPr>
      </w:pPr>
      <w:r w:rsidRPr="00DC5989">
        <w:rPr>
          <w:rFonts w:ascii="Arial" w:hAnsi="Arial" w:cs="Arial"/>
          <w:sz w:val="22"/>
          <w:szCs w:val="22"/>
        </w:rPr>
        <w:t xml:space="preserve">De acuerdo con lo establecido en la Directriz Primera, punto 2.1. d) de la Resolución 40/2012, de 21 de agosto, de la Directora de la Secretaría del Gobierno y de Relaciones con el </w:t>
      </w:r>
      <w:r w:rsidR="00870A33" w:rsidRPr="00DC5989">
        <w:rPr>
          <w:rFonts w:ascii="Arial" w:hAnsi="Arial" w:cs="Arial"/>
          <w:sz w:val="22"/>
          <w:szCs w:val="22"/>
        </w:rPr>
        <w:t>Parlamento, por</w:t>
      </w:r>
      <w:r w:rsidRPr="00DC5989">
        <w:rPr>
          <w:rFonts w:ascii="Arial" w:hAnsi="Arial" w:cs="Arial"/>
          <w:sz w:val="22"/>
          <w:szCs w:val="22"/>
        </w:rPr>
        <w:t xml:space="preserve"> la que se dispone la publicación del Acuerdo adoptado por el Consejo de Gobierno “por el que se aprueban las Directrices sobre la realización de la evaluación previa del impacto en función del género y la incorporación de medidas para eliminar desigualdades y promover la igualdad de mujeres y hombres”, el objeto de la regulación que nos ocupa forma parte de las excepciones de proyectos de normas jurídicas eximidos de la necesidad de adjuntar el Informe de Impacto en Función del Género, dado que se incluye entre “d) Los que tengan como objeto modificar otras normas ya vigentes, a menos que la modificación resulte sustancial por lo que respecta a la situación de mujeres y hombres.”</w:t>
      </w:r>
    </w:p>
    <w:p w:rsidR="00FF666A" w:rsidRPr="00DC5989" w:rsidRDefault="00FF666A" w:rsidP="00FF666A">
      <w:pPr>
        <w:pStyle w:val="Prrafodelista"/>
        <w:rPr>
          <w:rFonts w:ascii="Arial" w:hAnsi="Arial" w:cs="Arial"/>
          <w:sz w:val="22"/>
          <w:szCs w:val="22"/>
        </w:rPr>
      </w:pPr>
    </w:p>
    <w:p w:rsidR="00FF666A" w:rsidRPr="00DC5989" w:rsidRDefault="00FF666A" w:rsidP="00FF666A">
      <w:pPr>
        <w:pStyle w:val="Prrafodelista"/>
        <w:spacing w:before="120"/>
        <w:ind w:left="1080"/>
        <w:jc w:val="both"/>
        <w:rPr>
          <w:rFonts w:ascii="Arial" w:hAnsi="Arial" w:cs="Arial"/>
          <w:sz w:val="22"/>
          <w:szCs w:val="22"/>
        </w:rPr>
      </w:pPr>
      <w:r w:rsidRPr="00DC5989">
        <w:rPr>
          <w:rFonts w:ascii="Arial" w:hAnsi="Arial" w:cs="Arial"/>
          <w:sz w:val="22"/>
          <w:szCs w:val="22"/>
        </w:rPr>
        <w:t>Como ya se ha expuesto, la modificación tiene carácter meramente, organizativo y funcional, no se trata de una modificación sustancial en lo que respecta a la igualdad de género de hombres y mujeres.</w:t>
      </w:r>
    </w:p>
    <w:p w:rsidR="00FF666A" w:rsidRPr="00DC5989" w:rsidRDefault="00FF666A" w:rsidP="00FF666A">
      <w:pPr>
        <w:pStyle w:val="Prrafodelista"/>
        <w:spacing w:before="120"/>
        <w:ind w:left="1080"/>
        <w:jc w:val="both"/>
        <w:rPr>
          <w:rFonts w:ascii="Arial" w:hAnsi="Arial" w:cs="Arial"/>
          <w:sz w:val="22"/>
          <w:szCs w:val="22"/>
        </w:rPr>
      </w:pPr>
    </w:p>
    <w:p w:rsidR="00FF666A" w:rsidRPr="00DC5989" w:rsidRDefault="00FF666A" w:rsidP="00FF666A">
      <w:pPr>
        <w:pStyle w:val="Prrafodelista"/>
        <w:spacing w:before="120"/>
        <w:ind w:left="1080"/>
        <w:jc w:val="both"/>
        <w:rPr>
          <w:rFonts w:ascii="Arial" w:hAnsi="Arial" w:cs="Arial"/>
          <w:sz w:val="22"/>
          <w:szCs w:val="22"/>
        </w:rPr>
      </w:pPr>
      <w:r w:rsidRPr="00DC5989">
        <w:rPr>
          <w:rFonts w:ascii="Arial" w:hAnsi="Arial" w:cs="Arial"/>
          <w:sz w:val="22"/>
          <w:szCs w:val="22"/>
        </w:rPr>
        <w:t>Además, el proyecto mismo que se pretende modificar fue considerado en su globalidad, por EMAKUNDE como no sujeto a valoración por razón de igualdad de género.</w:t>
      </w:r>
    </w:p>
    <w:p w:rsidR="00FF666A" w:rsidRPr="00DC5989" w:rsidRDefault="00FF666A" w:rsidP="00FF666A">
      <w:pPr>
        <w:pStyle w:val="Prrafodelista"/>
        <w:spacing w:before="120"/>
        <w:ind w:left="1080"/>
        <w:jc w:val="both"/>
        <w:rPr>
          <w:rFonts w:ascii="Arial" w:hAnsi="Arial" w:cs="Arial"/>
          <w:sz w:val="22"/>
          <w:szCs w:val="22"/>
        </w:rPr>
      </w:pPr>
    </w:p>
    <w:p w:rsidR="006E7136" w:rsidRPr="00DC5989" w:rsidRDefault="006E7136" w:rsidP="006E7136">
      <w:pPr>
        <w:spacing w:before="120"/>
        <w:jc w:val="both"/>
        <w:rPr>
          <w:rFonts w:ascii="Arial" w:hAnsi="Arial" w:cs="Arial"/>
          <w:sz w:val="22"/>
          <w:szCs w:val="22"/>
        </w:rPr>
      </w:pPr>
    </w:p>
    <w:p w:rsidR="006E7136" w:rsidRPr="00DC5989" w:rsidRDefault="006E7136" w:rsidP="006E7136">
      <w:pPr>
        <w:pStyle w:val="Prrafodelista"/>
        <w:numPr>
          <w:ilvl w:val="0"/>
          <w:numId w:val="1"/>
        </w:numPr>
        <w:spacing w:before="120"/>
        <w:jc w:val="both"/>
        <w:rPr>
          <w:rFonts w:ascii="Arial" w:hAnsi="Arial" w:cs="Arial"/>
          <w:sz w:val="22"/>
          <w:szCs w:val="22"/>
        </w:rPr>
      </w:pPr>
      <w:r w:rsidRPr="00DC5989">
        <w:rPr>
          <w:rFonts w:ascii="Arial" w:hAnsi="Arial" w:cs="Arial"/>
          <w:sz w:val="22"/>
          <w:szCs w:val="22"/>
        </w:rPr>
        <w:t xml:space="preserve">Se evacuarán los siguientes </w:t>
      </w:r>
      <w:r w:rsidRPr="00DC5989">
        <w:rPr>
          <w:rFonts w:ascii="Arial" w:hAnsi="Arial" w:cs="Arial"/>
          <w:b/>
          <w:sz w:val="22"/>
          <w:szCs w:val="22"/>
        </w:rPr>
        <w:t>inf</w:t>
      </w:r>
      <w:r w:rsidR="001B61F5" w:rsidRPr="00DC5989">
        <w:rPr>
          <w:rFonts w:ascii="Arial" w:hAnsi="Arial" w:cs="Arial"/>
          <w:b/>
          <w:sz w:val="22"/>
          <w:szCs w:val="22"/>
        </w:rPr>
        <w:t>orme por estimarlos necesarios y pertinentes</w:t>
      </w:r>
      <w:r w:rsidR="001B61F5" w:rsidRPr="00DC5989">
        <w:rPr>
          <w:rFonts w:ascii="Arial" w:hAnsi="Arial" w:cs="Arial"/>
          <w:sz w:val="22"/>
          <w:szCs w:val="22"/>
        </w:rPr>
        <w:t>, por razón de la materia y contenido de la regulación propuesta en relación con las facultades y funciones atribuidas a los órganos y entidades de los que se recaba:</w:t>
      </w:r>
    </w:p>
    <w:p w:rsidR="001B61F5" w:rsidRPr="00DC5989" w:rsidRDefault="001B61F5" w:rsidP="001B61F5">
      <w:pPr>
        <w:pStyle w:val="Prrafodelista"/>
        <w:spacing w:before="120"/>
        <w:ind w:left="360"/>
        <w:jc w:val="both"/>
        <w:rPr>
          <w:rFonts w:ascii="Arial" w:hAnsi="Arial" w:cs="Arial"/>
          <w:sz w:val="22"/>
          <w:szCs w:val="22"/>
        </w:rPr>
      </w:pPr>
    </w:p>
    <w:p w:rsidR="001B61F5" w:rsidRPr="00DC5989" w:rsidRDefault="001B61F5" w:rsidP="001B61F5">
      <w:pPr>
        <w:pStyle w:val="Prrafodelista"/>
        <w:numPr>
          <w:ilvl w:val="1"/>
          <w:numId w:val="1"/>
        </w:numPr>
        <w:spacing w:before="120"/>
        <w:jc w:val="both"/>
        <w:rPr>
          <w:rFonts w:ascii="Arial" w:hAnsi="Arial" w:cs="Arial"/>
          <w:sz w:val="22"/>
          <w:szCs w:val="22"/>
        </w:rPr>
      </w:pPr>
      <w:r w:rsidRPr="00DC5989">
        <w:rPr>
          <w:rFonts w:ascii="Arial" w:hAnsi="Arial" w:cs="Arial"/>
          <w:sz w:val="22"/>
          <w:szCs w:val="22"/>
        </w:rPr>
        <w:t>Dirección de Atención a la Ciudadanía y Servicios Digitales del Gobierno Vasco.</w:t>
      </w:r>
    </w:p>
    <w:p w:rsidR="00924A1C" w:rsidRPr="00DC5989" w:rsidRDefault="00924A1C" w:rsidP="00924A1C">
      <w:pPr>
        <w:pStyle w:val="Prrafodelista"/>
        <w:spacing w:before="120"/>
        <w:ind w:left="1080"/>
        <w:jc w:val="both"/>
        <w:rPr>
          <w:rFonts w:ascii="Arial" w:hAnsi="Arial" w:cs="Arial"/>
          <w:sz w:val="22"/>
          <w:szCs w:val="22"/>
        </w:rPr>
      </w:pPr>
    </w:p>
    <w:p w:rsidR="00924A1C" w:rsidRPr="00DC5989" w:rsidRDefault="00924A1C" w:rsidP="001B61F5">
      <w:pPr>
        <w:pStyle w:val="Prrafodelista"/>
        <w:numPr>
          <w:ilvl w:val="1"/>
          <w:numId w:val="1"/>
        </w:numPr>
        <w:spacing w:before="120"/>
        <w:jc w:val="both"/>
        <w:rPr>
          <w:rFonts w:ascii="Arial" w:hAnsi="Arial" w:cs="Arial"/>
          <w:sz w:val="22"/>
          <w:szCs w:val="22"/>
        </w:rPr>
      </w:pPr>
      <w:r w:rsidRPr="00DC5989">
        <w:rPr>
          <w:rFonts w:ascii="Arial" w:hAnsi="Arial" w:cs="Arial"/>
          <w:sz w:val="22"/>
          <w:szCs w:val="22"/>
        </w:rPr>
        <w:t xml:space="preserve">Comisión Estratégica para las Tecnologías de la Información y Comunicación, regulado por el </w:t>
      </w:r>
      <w:r w:rsidR="00870A33" w:rsidRPr="00DC5989">
        <w:rPr>
          <w:rFonts w:ascii="Arial" w:hAnsi="Arial" w:cs="Arial"/>
          <w:sz w:val="22"/>
          <w:szCs w:val="22"/>
        </w:rPr>
        <w:t>Decreto</w:t>
      </w:r>
      <w:r w:rsidRPr="00DC5989">
        <w:rPr>
          <w:rFonts w:ascii="Arial" w:hAnsi="Arial" w:cs="Arial"/>
          <w:sz w:val="22"/>
          <w:szCs w:val="22"/>
        </w:rPr>
        <w:t xml:space="preserve"> 36/2020, de 10 de marzo, por el que regula el Modelo de Gestión de las Tecnologías de la Información y la Comunicación en el Sector Público de la Comunidad Autónoma de Euskadi.</w:t>
      </w:r>
    </w:p>
    <w:p w:rsidR="001B61F5" w:rsidRPr="00DC5989" w:rsidRDefault="001B61F5" w:rsidP="001B61F5">
      <w:pPr>
        <w:pStyle w:val="Prrafodelista"/>
        <w:spacing w:before="120"/>
        <w:ind w:left="1080"/>
        <w:jc w:val="both"/>
        <w:rPr>
          <w:rFonts w:ascii="Arial" w:hAnsi="Arial" w:cs="Arial"/>
          <w:sz w:val="22"/>
          <w:szCs w:val="22"/>
        </w:rPr>
      </w:pPr>
    </w:p>
    <w:p w:rsidR="001B61F5" w:rsidRPr="00DC5989" w:rsidRDefault="00924A1C" w:rsidP="001B61F5">
      <w:pPr>
        <w:pStyle w:val="Prrafodelista"/>
        <w:numPr>
          <w:ilvl w:val="1"/>
          <w:numId w:val="1"/>
        </w:numPr>
        <w:spacing w:before="120"/>
        <w:jc w:val="both"/>
        <w:rPr>
          <w:rFonts w:ascii="Arial" w:hAnsi="Arial" w:cs="Arial"/>
          <w:sz w:val="22"/>
          <w:szCs w:val="22"/>
        </w:rPr>
      </w:pPr>
      <w:r w:rsidRPr="00DC5989">
        <w:rPr>
          <w:rFonts w:ascii="Arial" w:hAnsi="Arial" w:cs="Arial"/>
          <w:iCs/>
          <w:sz w:val="22"/>
          <w:szCs w:val="22"/>
        </w:rPr>
        <w:t>Ziurtapen eta Zerbitzu Enpresa-Empresa de Certificación y Servicios, Izenpe, S.A.</w:t>
      </w:r>
      <w:r w:rsidR="001B61F5" w:rsidRPr="00DC5989">
        <w:rPr>
          <w:rFonts w:ascii="Arial" w:hAnsi="Arial" w:cs="Arial"/>
          <w:sz w:val="22"/>
          <w:szCs w:val="22"/>
        </w:rPr>
        <w:t>, empresa de certificación y servicios</w:t>
      </w:r>
      <w:r w:rsidRPr="00DC5989">
        <w:rPr>
          <w:rFonts w:ascii="Arial" w:hAnsi="Arial" w:cs="Arial"/>
          <w:sz w:val="22"/>
          <w:szCs w:val="22"/>
        </w:rPr>
        <w:t>.</w:t>
      </w:r>
    </w:p>
    <w:p w:rsidR="001B61F5" w:rsidRPr="00DC5989" w:rsidRDefault="001B61F5" w:rsidP="001B61F5">
      <w:pPr>
        <w:pStyle w:val="Prrafodelista"/>
        <w:rPr>
          <w:rFonts w:ascii="Arial" w:hAnsi="Arial" w:cs="Arial"/>
          <w:sz w:val="22"/>
          <w:szCs w:val="22"/>
        </w:rPr>
      </w:pPr>
    </w:p>
    <w:p w:rsidR="001B61F5" w:rsidRPr="00DC5989" w:rsidRDefault="001B61F5" w:rsidP="001B61F5">
      <w:pPr>
        <w:pStyle w:val="Prrafodelista"/>
        <w:spacing w:before="120"/>
        <w:ind w:left="360"/>
        <w:jc w:val="both"/>
        <w:rPr>
          <w:rFonts w:ascii="Arial" w:hAnsi="Arial" w:cs="Arial"/>
          <w:sz w:val="22"/>
          <w:szCs w:val="22"/>
        </w:rPr>
      </w:pPr>
    </w:p>
    <w:p w:rsidR="00C369FC" w:rsidRPr="00DC5989" w:rsidRDefault="006E7136" w:rsidP="001B61F5">
      <w:pPr>
        <w:pStyle w:val="Prrafodelista"/>
        <w:numPr>
          <w:ilvl w:val="0"/>
          <w:numId w:val="1"/>
        </w:numPr>
        <w:spacing w:before="120"/>
        <w:jc w:val="both"/>
        <w:rPr>
          <w:rFonts w:ascii="Arial" w:hAnsi="Arial" w:cs="Arial"/>
          <w:sz w:val="22"/>
          <w:szCs w:val="22"/>
        </w:rPr>
      </w:pPr>
      <w:r w:rsidRPr="00DC5989">
        <w:rPr>
          <w:rFonts w:ascii="Arial" w:hAnsi="Arial" w:cs="Arial"/>
          <w:b/>
          <w:sz w:val="22"/>
          <w:szCs w:val="22"/>
          <w:u w:val="single"/>
        </w:rPr>
        <w:t>Trámites</w:t>
      </w:r>
      <w:r w:rsidRPr="00DC5989">
        <w:rPr>
          <w:rFonts w:ascii="Arial" w:hAnsi="Arial" w:cs="Arial"/>
          <w:sz w:val="22"/>
          <w:szCs w:val="22"/>
        </w:rPr>
        <w:t>.</w:t>
      </w:r>
      <w:r w:rsidR="00FF666A" w:rsidRPr="00DC5989">
        <w:rPr>
          <w:rFonts w:ascii="Arial" w:hAnsi="Arial" w:cs="Arial"/>
          <w:sz w:val="22"/>
          <w:szCs w:val="22"/>
        </w:rPr>
        <w:t xml:space="preserve"> Proceden los siguientes:</w:t>
      </w:r>
    </w:p>
    <w:p w:rsidR="00F846C9" w:rsidRPr="00DC5989" w:rsidRDefault="00F846C9" w:rsidP="00F846C9">
      <w:pPr>
        <w:pStyle w:val="Prrafodelista"/>
        <w:spacing w:before="120"/>
        <w:ind w:left="360"/>
        <w:jc w:val="both"/>
        <w:rPr>
          <w:rFonts w:ascii="Arial" w:hAnsi="Arial" w:cs="Arial"/>
          <w:sz w:val="22"/>
          <w:szCs w:val="22"/>
        </w:rPr>
      </w:pPr>
    </w:p>
    <w:p w:rsidR="00226625" w:rsidRPr="00DC5989" w:rsidRDefault="00226625" w:rsidP="00F846C9">
      <w:pPr>
        <w:pStyle w:val="Prrafodelista"/>
        <w:numPr>
          <w:ilvl w:val="1"/>
          <w:numId w:val="1"/>
        </w:numPr>
        <w:spacing w:before="120"/>
        <w:jc w:val="both"/>
        <w:rPr>
          <w:rFonts w:ascii="Arial" w:hAnsi="Arial" w:cs="Arial"/>
          <w:sz w:val="22"/>
          <w:szCs w:val="22"/>
        </w:rPr>
      </w:pPr>
      <w:r w:rsidRPr="00DC5989">
        <w:rPr>
          <w:rFonts w:ascii="Arial" w:hAnsi="Arial" w:cs="Arial"/>
          <w:sz w:val="22"/>
          <w:szCs w:val="22"/>
        </w:rPr>
        <w:t xml:space="preserve">La presente orden de inicio será objeto de publicación en el tablón de anuncios de la sede electrónica de la Administración Pública de la </w:t>
      </w:r>
      <w:r w:rsidRPr="00DC5989">
        <w:rPr>
          <w:rFonts w:ascii="Arial" w:hAnsi="Arial" w:cs="Arial"/>
          <w:sz w:val="22"/>
          <w:szCs w:val="22"/>
        </w:rPr>
        <w:lastRenderedPageBreak/>
        <w:t>Comunidad Autónoma de Euskadi, de conformidad con el artículo 13.2 de la Ley 6/2022.</w:t>
      </w:r>
    </w:p>
    <w:p w:rsidR="00226625" w:rsidRPr="00DC5989" w:rsidRDefault="00226625" w:rsidP="00226625">
      <w:pPr>
        <w:pStyle w:val="Prrafodelista"/>
        <w:spacing w:before="120"/>
        <w:ind w:left="1080"/>
        <w:jc w:val="both"/>
        <w:rPr>
          <w:rFonts w:ascii="Arial" w:hAnsi="Arial" w:cs="Arial"/>
          <w:sz w:val="22"/>
          <w:szCs w:val="22"/>
        </w:rPr>
      </w:pPr>
    </w:p>
    <w:p w:rsidR="00587125" w:rsidRPr="00DC5989" w:rsidRDefault="00587125" w:rsidP="00F846C9">
      <w:pPr>
        <w:pStyle w:val="Prrafodelista"/>
        <w:numPr>
          <w:ilvl w:val="1"/>
          <w:numId w:val="1"/>
        </w:numPr>
        <w:spacing w:before="120"/>
        <w:jc w:val="both"/>
        <w:rPr>
          <w:rFonts w:ascii="Arial" w:hAnsi="Arial" w:cs="Arial"/>
          <w:sz w:val="22"/>
          <w:szCs w:val="22"/>
        </w:rPr>
      </w:pPr>
      <w:r w:rsidRPr="00DC5989">
        <w:rPr>
          <w:rFonts w:ascii="Arial" w:hAnsi="Arial" w:cs="Arial"/>
          <w:sz w:val="22"/>
          <w:szCs w:val="22"/>
        </w:rPr>
        <w:t>Para dar cumplimiento con el principio de transparencia y publicidad de los documentos del proceso de elaboración previsto en Ley 19/2013, de 9 de diciembre, de transparencia, acceso a la información pública y buen gobierno, se procederá a la publicación del proyecto normativo a través de la herramienta habilitada al efecto “Legegunea”.</w:t>
      </w:r>
    </w:p>
    <w:p w:rsidR="00F846C9" w:rsidRPr="00DC5989" w:rsidRDefault="00F846C9" w:rsidP="00F846C9">
      <w:pPr>
        <w:pStyle w:val="Prrafodelista"/>
        <w:spacing w:before="120"/>
        <w:ind w:left="1080"/>
        <w:jc w:val="both"/>
        <w:rPr>
          <w:rFonts w:ascii="Arial" w:hAnsi="Arial" w:cs="Arial"/>
          <w:sz w:val="22"/>
          <w:szCs w:val="22"/>
        </w:rPr>
      </w:pPr>
    </w:p>
    <w:p w:rsidR="009A3790" w:rsidRPr="00DC5989" w:rsidRDefault="009A3790" w:rsidP="00F846C9">
      <w:pPr>
        <w:pStyle w:val="Prrafodelista"/>
        <w:numPr>
          <w:ilvl w:val="1"/>
          <w:numId w:val="1"/>
        </w:numPr>
        <w:spacing w:before="120"/>
        <w:jc w:val="both"/>
        <w:rPr>
          <w:rFonts w:ascii="Arial" w:hAnsi="Arial" w:cs="Arial"/>
          <w:sz w:val="22"/>
          <w:szCs w:val="22"/>
        </w:rPr>
      </w:pPr>
      <w:r w:rsidRPr="00DC5989">
        <w:rPr>
          <w:rFonts w:ascii="Arial" w:hAnsi="Arial" w:cs="Arial"/>
          <w:sz w:val="22"/>
          <w:szCs w:val="22"/>
        </w:rPr>
        <w:t>A efectos del trámite de audiencia e información pública, y de acuerdo con lo establecido en el artículo 17 de la Ley 6/2022, de 30 de junio, en razón de su contenido, el trámite de audiencia pública se realizará a través de la consulta a las asociaciones profesionales de trabajadores autónomos de carácter intersectorial consideradas más representativas</w:t>
      </w:r>
      <w:r w:rsidR="00AE7044" w:rsidRPr="00DC5989">
        <w:rPr>
          <w:rFonts w:ascii="Arial" w:hAnsi="Arial" w:cs="Arial"/>
          <w:sz w:val="22"/>
          <w:szCs w:val="22"/>
        </w:rPr>
        <w:t>:</w:t>
      </w:r>
      <w:r w:rsidR="001578F6" w:rsidRPr="00DC5989">
        <w:rPr>
          <w:rFonts w:ascii="Arial" w:hAnsi="Arial" w:cs="Arial"/>
          <w:sz w:val="22"/>
          <w:szCs w:val="22"/>
        </w:rPr>
        <w:t xml:space="preserve"> </w:t>
      </w:r>
      <w:r w:rsidR="00AE7044" w:rsidRPr="00DC5989">
        <w:rPr>
          <w:rFonts w:ascii="Arial" w:hAnsi="Arial" w:cs="Arial"/>
          <w:sz w:val="22"/>
          <w:szCs w:val="22"/>
        </w:rPr>
        <w:t>Asociación Vasca de Autónomos (AVA)</w:t>
      </w:r>
      <w:r w:rsidRPr="00DC5989">
        <w:rPr>
          <w:rFonts w:ascii="Arial" w:hAnsi="Arial" w:cs="Arial"/>
          <w:sz w:val="22"/>
          <w:szCs w:val="22"/>
        </w:rPr>
        <w:t xml:space="preserve">, </w:t>
      </w:r>
      <w:r w:rsidR="00AE7044" w:rsidRPr="00DC5989">
        <w:rPr>
          <w:rFonts w:ascii="Arial" w:hAnsi="Arial" w:cs="Arial"/>
          <w:sz w:val="22"/>
          <w:szCs w:val="22"/>
        </w:rPr>
        <w:t xml:space="preserve">Unión de Profesionales y Trabajadores Autónomos de Euskadi (UPTA EUSKADI) y </w:t>
      </w:r>
      <w:r w:rsidRPr="00DC5989">
        <w:rPr>
          <w:rFonts w:ascii="Arial" w:hAnsi="Arial" w:cs="Arial"/>
          <w:sz w:val="22"/>
          <w:szCs w:val="22"/>
        </w:rPr>
        <w:t xml:space="preserve"> ABAT</w:t>
      </w:r>
      <w:r w:rsidR="001578F6" w:rsidRPr="00DC5989">
        <w:rPr>
          <w:rFonts w:ascii="Arial" w:hAnsi="Arial" w:cs="Arial"/>
          <w:sz w:val="22"/>
          <w:szCs w:val="22"/>
        </w:rPr>
        <w:t xml:space="preserve"> AUTONOMIAK BAT</w:t>
      </w:r>
      <w:r w:rsidRPr="00DC5989">
        <w:rPr>
          <w:rFonts w:ascii="Arial" w:hAnsi="Arial" w:cs="Arial"/>
          <w:sz w:val="22"/>
          <w:szCs w:val="22"/>
        </w:rPr>
        <w:t xml:space="preserve"> en base al grado de afiliación de trabajadores autónomos. Dicha consulta suple el trámite de información pública toda vez que la defensa de los intereses del sector afectados por la norma se considera garantizada a través del trámite de audiencia referido.</w:t>
      </w:r>
    </w:p>
    <w:p w:rsidR="00F846C9" w:rsidRPr="00DC5989" w:rsidRDefault="00F846C9" w:rsidP="00F846C9">
      <w:pPr>
        <w:pStyle w:val="Prrafodelista"/>
        <w:rPr>
          <w:rFonts w:ascii="Arial" w:hAnsi="Arial" w:cs="Arial"/>
          <w:sz w:val="22"/>
          <w:szCs w:val="22"/>
        </w:rPr>
      </w:pPr>
    </w:p>
    <w:p w:rsidR="00F846C9" w:rsidRPr="00DC5989" w:rsidRDefault="00F846C9" w:rsidP="00F846C9">
      <w:pPr>
        <w:pStyle w:val="Prrafodelista"/>
        <w:spacing w:before="120"/>
        <w:ind w:left="1080"/>
        <w:jc w:val="both"/>
        <w:rPr>
          <w:rFonts w:ascii="Arial" w:hAnsi="Arial" w:cs="Arial"/>
          <w:sz w:val="22"/>
          <w:szCs w:val="22"/>
        </w:rPr>
      </w:pPr>
    </w:p>
    <w:p w:rsidR="00F846C9" w:rsidRPr="00DC5989" w:rsidRDefault="00F846C9" w:rsidP="00F846C9">
      <w:pPr>
        <w:pStyle w:val="Prrafodelista"/>
        <w:numPr>
          <w:ilvl w:val="0"/>
          <w:numId w:val="1"/>
        </w:numPr>
        <w:spacing w:before="120" w:after="120"/>
        <w:jc w:val="both"/>
        <w:rPr>
          <w:rFonts w:ascii="Arial" w:hAnsi="Arial" w:cs="Arial"/>
          <w:b/>
          <w:sz w:val="22"/>
          <w:szCs w:val="22"/>
        </w:rPr>
      </w:pPr>
      <w:r w:rsidRPr="00DC5989">
        <w:rPr>
          <w:rFonts w:ascii="Arial" w:hAnsi="Arial" w:cs="Arial"/>
          <w:b/>
          <w:sz w:val="22"/>
          <w:szCs w:val="22"/>
        </w:rPr>
        <w:t>No procede la realización de los siguientes trámites:</w:t>
      </w:r>
    </w:p>
    <w:p w:rsidR="00FF666A" w:rsidRPr="00DC5989" w:rsidRDefault="00FF666A" w:rsidP="00FF666A">
      <w:pPr>
        <w:pStyle w:val="Prrafodelista"/>
        <w:spacing w:before="120" w:after="120"/>
        <w:ind w:left="360"/>
        <w:jc w:val="both"/>
        <w:rPr>
          <w:rFonts w:ascii="Arial" w:hAnsi="Arial" w:cs="Arial"/>
          <w:sz w:val="22"/>
          <w:szCs w:val="22"/>
        </w:rPr>
      </w:pPr>
    </w:p>
    <w:p w:rsidR="00F846C9" w:rsidRPr="00DC5989" w:rsidRDefault="00F846C9" w:rsidP="001D1431">
      <w:pPr>
        <w:pStyle w:val="Prrafodelista"/>
        <w:numPr>
          <w:ilvl w:val="1"/>
          <w:numId w:val="1"/>
        </w:numPr>
        <w:spacing w:before="120" w:after="120"/>
        <w:jc w:val="both"/>
        <w:rPr>
          <w:rFonts w:ascii="Arial" w:hAnsi="Arial" w:cs="Arial"/>
          <w:sz w:val="22"/>
          <w:szCs w:val="22"/>
        </w:rPr>
      </w:pPr>
      <w:r w:rsidRPr="00DC5989">
        <w:rPr>
          <w:rFonts w:ascii="Arial" w:hAnsi="Arial" w:cs="Arial"/>
          <w:sz w:val="22"/>
          <w:szCs w:val="22"/>
        </w:rPr>
        <w:t xml:space="preserve">No procede realizar el trámite de consulta previa prevista en su artículo 133.1 el artículo de la Ley 39/2015, de 1 de octubre, del Procedimiento Administrativo Común de las Administraciones Públicas, </w:t>
      </w:r>
      <w:r w:rsidR="009B6E0C" w:rsidRPr="00DC5989">
        <w:rPr>
          <w:rFonts w:ascii="Arial" w:hAnsi="Arial" w:cs="Arial"/>
          <w:sz w:val="22"/>
          <w:szCs w:val="22"/>
        </w:rPr>
        <w:t xml:space="preserve">porque independientemente de su carácter de regulación no </w:t>
      </w:r>
      <w:r w:rsidR="009B6E0C" w:rsidRPr="00DC5989">
        <w:rPr>
          <w:rFonts w:ascii="Arial" w:hAnsi="Arial" w:cs="Arial"/>
          <w:i/>
          <w:sz w:val="22"/>
          <w:szCs w:val="22"/>
        </w:rPr>
        <w:t>ex novo</w:t>
      </w:r>
      <w:r w:rsidR="009B6E0C" w:rsidRPr="00DC5989">
        <w:rPr>
          <w:rFonts w:ascii="Arial" w:hAnsi="Arial" w:cs="Arial"/>
          <w:sz w:val="22"/>
          <w:szCs w:val="22"/>
        </w:rPr>
        <w:t xml:space="preserve"> y haberse recabado la opinión de la ciudadanía para la regulación de la materia con ocasión de la elaboración de la norma que se pretende modificar, sin resultado,  la </w:t>
      </w:r>
      <w:r w:rsidRPr="00DC5989">
        <w:rPr>
          <w:rFonts w:ascii="Arial" w:hAnsi="Arial" w:cs="Arial"/>
          <w:sz w:val="22"/>
          <w:szCs w:val="22"/>
        </w:rPr>
        <w:t xml:space="preserve">propuesta normativa </w:t>
      </w:r>
      <w:r w:rsidR="009B6E0C" w:rsidRPr="00DC5989">
        <w:rPr>
          <w:rFonts w:ascii="Arial" w:hAnsi="Arial" w:cs="Arial"/>
          <w:sz w:val="22"/>
          <w:szCs w:val="22"/>
        </w:rPr>
        <w:t xml:space="preserve">de que se trata </w:t>
      </w:r>
      <w:r w:rsidRPr="00DC5989">
        <w:rPr>
          <w:rFonts w:ascii="Arial" w:hAnsi="Arial" w:cs="Arial"/>
          <w:sz w:val="22"/>
          <w:szCs w:val="22"/>
        </w:rPr>
        <w:t xml:space="preserve">no tiene impacto significativo en la actividad económica, no impone obligaciones relevantes a los destinatarios y regula </w:t>
      </w:r>
      <w:r w:rsidR="009B6E0C" w:rsidRPr="00DC5989">
        <w:rPr>
          <w:rFonts w:ascii="Arial" w:hAnsi="Arial" w:cs="Arial"/>
          <w:sz w:val="22"/>
          <w:szCs w:val="22"/>
        </w:rPr>
        <w:t>un aspecto muy concreto y</w:t>
      </w:r>
      <w:r w:rsidRPr="00DC5989">
        <w:rPr>
          <w:rFonts w:ascii="Arial" w:hAnsi="Arial" w:cs="Arial"/>
          <w:sz w:val="22"/>
          <w:szCs w:val="22"/>
        </w:rPr>
        <w:t xml:space="preserve"> parci</w:t>
      </w:r>
      <w:r w:rsidR="00FF666A" w:rsidRPr="00DC5989">
        <w:rPr>
          <w:rFonts w:ascii="Arial" w:hAnsi="Arial" w:cs="Arial"/>
          <w:sz w:val="22"/>
          <w:szCs w:val="22"/>
        </w:rPr>
        <w:t>al.</w:t>
      </w:r>
    </w:p>
    <w:p w:rsidR="00072ED1" w:rsidRPr="00DC5989" w:rsidRDefault="00072ED1" w:rsidP="00072ED1">
      <w:pPr>
        <w:pStyle w:val="Prrafodelista"/>
        <w:spacing w:before="120" w:after="120"/>
        <w:ind w:left="360"/>
        <w:jc w:val="both"/>
        <w:rPr>
          <w:rFonts w:ascii="Arial" w:hAnsi="Arial" w:cs="Arial"/>
          <w:sz w:val="22"/>
          <w:szCs w:val="22"/>
        </w:rPr>
      </w:pPr>
    </w:p>
    <w:p w:rsidR="00072ED1" w:rsidRPr="00DC5989" w:rsidRDefault="00072ED1" w:rsidP="00072ED1">
      <w:pPr>
        <w:pStyle w:val="Prrafodelista"/>
        <w:numPr>
          <w:ilvl w:val="1"/>
          <w:numId w:val="1"/>
        </w:numPr>
        <w:spacing w:before="120" w:after="120"/>
        <w:jc w:val="both"/>
        <w:rPr>
          <w:rFonts w:ascii="Arial" w:hAnsi="Arial" w:cs="Arial"/>
          <w:sz w:val="22"/>
          <w:szCs w:val="22"/>
        </w:rPr>
      </w:pPr>
      <w:r w:rsidRPr="00DC5989">
        <w:rPr>
          <w:rFonts w:ascii="Arial" w:hAnsi="Arial" w:cs="Arial"/>
          <w:sz w:val="22"/>
          <w:szCs w:val="22"/>
        </w:rPr>
        <w:t xml:space="preserve">No se aprecia la necesidad de ningún trámite ante la </w:t>
      </w:r>
      <w:r w:rsidRPr="00DC5989">
        <w:rPr>
          <w:rFonts w:ascii="Arial" w:hAnsi="Arial" w:cs="Arial"/>
          <w:b/>
          <w:sz w:val="22"/>
          <w:szCs w:val="22"/>
        </w:rPr>
        <w:t>Unión Europea</w:t>
      </w:r>
      <w:r w:rsidRPr="00DC5989">
        <w:rPr>
          <w:rFonts w:ascii="Arial" w:hAnsi="Arial" w:cs="Arial"/>
          <w:sz w:val="22"/>
          <w:szCs w:val="22"/>
        </w:rPr>
        <w:t>.</w:t>
      </w:r>
    </w:p>
    <w:p w:rsidR="00072ED1" w:rsidRPr="00DC5989" w:rsidRDefault="00072ED1" w:rsidP="00072ED1">
      <w:pPr>
        <w:pStyle w:val="Prrafodelista"/>
        <w:spacing w:before="120" w:after="120"/>
        <w:ind w:left="1080"/>
        <w:jc w:val="both"/>
        <w:rPr>
          <w:rFonts w:ascii="Arial" w:hAnsi="Arial" w:cs="Arial"/>
          <w:sz w:val="22"/>
          <w:szCs w:val="22"/>
        </w:rPr>
      </w:pPr>
    </w:p>
    <w:p w:rsidR="00FF666A" w:rsidRPr="00DC5989" w:rsidRDefault="00FF666A" w:rsidP="00FF666A">
      <w:pPr>
        <w:pStyle w:val="Prrafodelista"/>
        <w:spacing w:before="120" w:after="120"/>
        <w:ind w:left="1080"/>
        <w:jc w:val="both"/>
        <w:rPr>
          <w:rFonts w:ascii="Arial" w:hAnsi="Arial" w:cs="Arial"/>
          <w:sz w:val="22"/>
          <w:szCs w:val="22"/>
        </w:rPr>
      </w:pPr>
    </w:p>
    <w:p w:rsidR="00F846C9" w:rsidRPr="00DC5989" w:rsidRDefault="00FF666A" w:rsidP="00F846C9">
      <w:pPr>
        <w:pStyle w:val="Prrafodelista"/>
        <w:numPr>
          <w:ilvl w:val="1"/>
          <w:numId w:val="1"/>
        </w:numPr>
        <w:spacing w:before="120" w:after="120"/>
        <w:jc w:val="both"/>
        <w:rPr>
          <w:rFonts w:ascii="Arial" w:hAnsi="Arial" w:cs="Arial"/>
          <w:sz w:val="22"/>
          <w:szCs w:val="22"/>
        </w:rPr>
      </w:pPr>
      <w:r w:rsidRPr="00DC5989">
        <w:rPr>
          <w:rFonts w:ascii="Arial" w:hAnsi="Arial" w:cs="Arial"/>
          <w:sz w:val="22"/>
          <w:szCs w:val="22"/>
        </w:rPr>
        <w:t>Tampoco procede la consulta a otras administraciones públicas, por cuanto la materia que se regula no incide en las competencias o actuación de éstas. Todo ello de conformidad con el artículo 18 de la Ley 6/2022.</w:t>
      </w:r>
    </w:p>
    <w:p w:rsidR="00072ED1" w:rsidRPr="00DC5989" w:rsidRDefault="00072ED1" w:rsidP="00072ED1">
      <w:pPr>
        <w:pStyle w:val="Prrafodelista"/>
        <w:spacing w:before="120" w:after="120"/>
        <w:ind w:left="1080"/>
        <w:jc w:val="both"/>
        <w:rPr>
          <w:rFonts w:ascii="Arial" w:hAnsi="Arial" w:cs="Arial"/>
          <w:sz w:val="22"/>
          <w:szCs w:val="22"/>
        </w:rPr>
      </w:pPr>
    </w:p>
    <w:p w:rsidR="00072ED1" w:rsidRPr="00DC5989" w:rsidRDefault="00072ED1" w:rsidP="00072ED1">
      <w:pPr>
        <w:pStyle w:val="Prrafodelista"/>
        <w:numPr>
          <w:ilvl w:val="0"/>
          <w:numId w:val="4"/>
        </w:numPr>
        <w:spacing w:before="120" w:after="120"/>
        <w:jc w:val="both"/>
        <w:rPr>
          <w:rFonts w:ascii="Arial" w:hAnsi="Arial" w:cs="Arial"/>
          <w:b/>
          <w:sz w:val="22"/>
          <w:szCs w:val="22"/>
        </w:rPr>
      </w:pPr>
      <w:r w:rsidRPr="00DC5989">
        <w:rPr>
          <w:rFonts w:ascii="Arial" w:hAnsi="Arial" w:cs="Arial"/>
          <w:b/>
          <w:sz w:val="22"/>
          <w:szCs w:val="22"/>
        </w:rPr>
        <w:t xml:space="preserve">Identificación preliminar de los sujetos y organizaciones más representativas potencialmente </w:t>
      </w:r>
      <w:r w:rsidR="00870A33" w:rsidRPr="00DC5989">
        <w:rPr>
          <w:rFonts w:ascii="Arial" w:hAnsi="Arial" w:cs="Arial"/>
          <w:b/>
          <w:sz w:val="22"/>
          <w:szCs w:val="22"/>
        </w:rPr>
        <w:t>afectados</w:t>
      </w:r>
      <w:r w:rsidRPr="00DC5989">
        <w:rPr>
          <w:rFonts w:ascii="Arial" w:hAnsi="Arial" w:cs="Arial"/>
          <w:b/>
          <w:sz w:val="22"/>
          <w:szCs w:val="22"/>
        </w:rPr>
        <w:t xml:space="preserve"> por la disposición modificativa.</w:t>
      </w:r>
    </w:p>
    <w:p w:rsidR="00072ED1" w:rsidRPr="00DC5989" w:rsidRDefault="00072ED1" w:rsidP="00072ED1">
      <w:pPr>
        <w:spacing w:before="120" w:after="120"/>
        <w:jc w:val="both"/>
        <w:rPr>
          <w:rFonts w:ascii="Arial" w:hAnsi="Arial" w:cs="Arial"/>
          <w:b/>
          <w:sz w:val="22"/>
          <w:szCs w:val="22"/>
        </w:rPr>
      </w:pPr>
    </w:p>
    <w:p w:rsidR="00072ED1" w:rsidRPr="00DC5989" w:rsidRDefault="00072ED1" w:rsidP="00072ED1">
      <w:pPr>
        <w:spacing w:before="120" w:after="120"/>
        <w:jc w:val="both"/>
        <w:rPr>
          <w:rFonts w:ascii="Arial" w:hAnsi="Arial" w:cs="Arial"/>
          <w:sz w:val="22"/>
          <w:szCs w:val="22"/>
        </w:rPr>
      </w:pPr>
      <w:r w:rsidRPr="00DC5989">
        <w:rPr>
          <w:rFonts w:ascii="Arial" w:hAnsi="Arial" w:cs="Arial"/>
          <w:sz w:val="22"/>
          <w:szCs w:val="22"/>
        </w:rPr>
        <w:t xml:space="preserve">Las asociaciones profesionales de trabajadores autónomos de carácter intersectorial consideradas más representativas conocidas son: </w:t>
      </w:r>
      <w:r w:rsidR="001578F6" w:rsidRPr="00DC5989">
        <w:rPr>
          <w:rFonts w:ascii="Arial" w:hAnsi="Arial" w:cs="Arial"/>
          <w:sz w:val="22"/>
          <w:szCs w:val="22"/>
        </w:rPr>
        <w:t>Asociación Vasca de Autónomos (AVA), Unión de Profesionales y Trabajadores Autónomos de Euskadi (UPTA EUSKADI) y  ABAT AUTONOMIAK BAT</w:t>
      </w:r>
      <w:r w:rsidRPr="00DC5989">
        <w:rPr>
          <w:rFonts w:ascii="Arial" w:hAnsi="Arial" w:cs="Arial"/>
          <w:sz w:val="22"/>
          <w:szCs w:val="22"/>
        </w:rPr>
        <w:t>.</w:t>
      </w:r>
    </w:p>
    <w:p w:rsidR="00072ED1" w:rsidRPr="00DC5989" w:rsidRDefault="00072ED1" w:rsidP="00072ED1">
      <w:pPr>
        <w:spacing w:before="120" w:after="120"/>
        <w:jc w:val="both"/>
        <w:rPr>
          <w:rFonts w:ascii="Arial" w:hAnsi="Arial" w:cs="Arial"/>
          <w:sz w:val="22"/>
          <w:szCs w:val="22"/>
        </w:rPr>
      </w:pPr>
    </w:p>
    <w:p w:rsidR="00072ED1" w:rsidRPr="00DC5989" w:rsidRDefault="00072ED1" w:rsidP="00870A33">
      <w:pPr>
        <w:pStyle w:val="Prrafodelista"/>
        <w:numPr>
          <w:ilvl w:val="0"/>
          <w:numId w:val="4"/>
        </w:numPr>
        <w:spacing w:before="120" w:after="120"/>
        <w:jc w:val="both"/>
        <w:rPr>
          <w:rFonts w:ascii="Arial" w:hAnsi="Arial" w:cs="Arial"/>
          <w:b/>
          <w:sz w:val="22"/>
          <w:szCs w:val="22"/>
        </w:rPr>
      </w:pPr>
      <w:r w:rsidRPr="00DC5989">
        <w:rPr>
          <w:rFonts w:ascii="Arial" w:hAnsi="Arial" w:cs="Arial"/>
          <w:b/>
          <w:sz w:val="22"/>
          <w:szCs w:val="22"/>
        </w:rPr>
        <w:lastRenderedPageBreak/>
        <w:t xml:space="preserve">Determinación de la técnica que se </w:t>
      </w:r>
      <w:r w:rsidR="00870A33" w:rsidRPr="00DC5989">
        <w:rPr>
          <w:rFonts w:ascii="Arial" w:hAnsi="Arial" w:cs="Arial"/>
          <w:b/>
          <w:sz w:val="22"/>
          <w:szCs w:val="22"/>
        </w:rPr>
        <w:t>utilizará</w:t>
      </w:r>
      <w:r w:rsidRPr="00DC5989">
        <w:rPr>
          <w:rFonts w:ascii="Arial" w:hAnsi="Arial" w:cs="Arial"/>
          <w:b/>
          <w:sz w:val="22"/>
          <w:szCs w:val="22"/>
        </w:rPr>
        <w:t xml:space="preserve"> en su redacción.</w:t>
      </w:r>
    </w:p>
    <w:p w:rsidR="00072ED1" w:rsidRPr="00DC5989" w:rsidRDefault="00072ED1" w:rsidP="00072ED1">
      <w:pPr>
        <w:spacing w:before="120" w:after="120"/>
        <w:jc w:val="both"/>
        <w:rPr>
          <w:rFonts w:ascii="Arial" w:hAnsi="Arial" w:cs="Arial"/>
          <w:b/>
          <w:sz w:val="22"/>
          <w:szCs w:val="22"/>
        </w:rPr>
      </w:pPr>
    </w:p>
    <w:p w:rsidR="0071339D" w:rsidRPr="00DC5989" w:rsidRDefault="003E28AE" w:rsidP="0071339D">
      <w:pPr>
        <w:spacing w:before="120" w:after="120" w:line="276" w:lineRule="auto"/>
        <w:jc w:val="both"/>
        <w:rPr>
          <w:rFonts w:ascii="Arial" w:hAnsi="Arial" w:cs="Arial"/>
          <w:sz w:val="22"/>
          <w:szCs w:val="22"/>
        </w:rPr>
      </w:pPr>
      <w:r w:rsidRPr="00DC5989">
        <w:rPr>
          <w:rFonts w:ascii="Arial" w:hAnsi="Arial" w:cs="Arial"/>
          <w:sz w:val="22"/>
          <w:szCs w:val="22"/>
        </w:rPr>
        <w:t>El texto normativo será</w:t>
      </w:r>
      <w:r w:rsidR="00AF31EC" w:rsidRPr="00DC5989">
        <w:rPr>
          <w:rFonts w:ascii="Arial" w:hAnsi="Arial" w:cs="Arial"/>
          <w:sz w:val="22"/>
          <w:szCs w:val="22"/>
        </w:rPr>
        <w:t xml:space="preserve"> bilingüe desde el ini</w:t>
      </w:r>
      <w:r w:rsidRPr="00DC5989">
        <w:rPr>
          <w:rFonts w:ascii="Arial" w:hAnsi="Arial" w:cs="Arial"/>
          <w:sz w:val="22"/>
          <w:szCs w:val="22"/>
        </w:rPr>
        <w:t xml:space="preserve">cio </w:t>
      </w:r>
      <w:r w:rsidR="00226625" w:rsidRPr="00DC5989">
        <w:rPr>
          <w:rFonts w:ascii="Arial" w:hAnsi="Arial" w:cs="Arial"/>
          <w:sz w:val="22"/>
          <w:szCs w:val="22"/>
        </w:rPr>
        <w:t xml:space="preserve">de conformidad con el artículo 8.1 de la Ley 10/1982, de 24 de noviembre, básica de normalización del uso del euskera, </w:t>
      </w:r>
      <w:r w:rsidRPr="00DC5989">
        <w:rPr>
          <w:rFonts w:ascii="Arial" w:hAnsi="Arial" w:cs="Arial"/>
          <w:sz w:val="22"/>
          <w:szCs w:val="22"/>
        </w:rPr>
        <w:t>de modificado por la Disposición Final Primera de la Ley 6/2022.</w:t>
      </w:r>
      <w:r w:rsidR="0071339D" w:rsidRPr="00DC5989">
        <w:rPr>
          <w:rFonts w:ascii="Arial" w:hAnsi="Arial" w:cs="Arial"/>
          <w:sz w:val="22"/>
          <w:szCs w:val="22"/>
        </w:rPr>
        <w:t xml:space="preserve"> Para ello, el método utilizado será  el de traducción por el Servicio Oficial de Traductores-IZO del Instituto Vasco de Administración Pública, de conformidad con el Acuerdo del Consejo de Gobierno de 14 de mayo de 2013, por el que se aprueban las medidas para la elaboración bilingüe de las disposiciones de carácter general que adopten la forma de ley, decreto legislativo, decreto u orden.</w:t>
      </w:r>
    </w:p>
    <w:p w:rsidR="003E28AE" w:rsidRPr="00DC5989" w:rsidRDefault="003E28AE" w:rsidP="00072ED1">
      <w:pPr>
        <w:spacing w:before="120" w:after="120"/>
        <w:jc w:val="both"/>
        <w:rPr>
          <w:rFonts w:ascii="Arial" w:hAnsi="Arial" w:cs="Arial"/>
          <w:sz w:val="22"/>
          <w:szCs w:val="22"/>
        </w:rPr>
      </w:pPr>
    </w:p>
    <w:p w:rsidR="00AF31EC" w:rsidRPr="00DC5989" w:rsidRDefault="00AF31EC" w:rsidP="00072ED1">
      <w:pPr>
        <w:spacing w:before="120" w:after="120"/>
        <w:jc w:val="both"/>
        <w:rPr>
          <w:rFonts w:ascii="Arial" w:hAnsi="Arial" w:cs="Arial"/>
          <w:sz w:val="22"/>
          <w:szCs w:val="22"/>
        </w:rPr>
      </w:pPr>
      <w:r w:rsidRPr="00DC5989">
        <w:rPr>
          <w:rFonts w:ascii="Arial" w:hAnsi="Arial" w:cs="Arial"/>
          <w:sz w:val="22"/>
          <w:szCs w:val="22"/>
        </w:rPr>
        <w:t xml:space="preserve">Así mismo, se prevendrá la utilización de un lenguaje </w:t>
      </w:r>
      <w:r w:rsidR="00870A33" w:rsidRPr="00DC5989">
        <w:rPr>
          <w:rFonts w:ascii="Arial" w:hAnsi="Arial" w:cs="Arial"/>
          <w:sz w:val="22"/>
          <w:szCs w:val="22"/>
        </w:rPr>
        <w:t>inclusivo</w:t>
      </w:r>
      <w:r w:rsidRPr="00DC5989">
        <w:rPr>
          <w:rFonts w:ascii="Arial" w:hAnsi="Arial" w:cs="Arial"/>
          <w:sz w:val="22"/>
          <w:szCs w:val="22"/>
        </w:rPr>
        <w:t xml:space="preserve"> y no sexista en su redacción. </w:t>
      </w:r>
    </w:p>
    <w:p w:rsidR="003E28AE" w:rsidRPr="00DC5989" w:rsidRDefault="003E28AE" w:rsidP="00072ED1">
      <w:pPr>
        <w:spacing w:before="120" w:after="120"/>
        <w:jc w:val="both"/>
        <w:rPr>
          <w:rFonts w:ascii="Arial" w:hAnsi="Arial" w:cs="Arial"/>
          <w:sz w:val="22"/>
          <w:szCs w:val="22"/>
        </w:rPr>
      </w:pPr>
    </w:p>
    <w:p w:rsidR="00AF31EC" w:rsidRPr="00DC5989" w:rsidRDefault="00AF31EC" w:rsidP="00072ED1">
      <w:pPr>
        <w:spacing w:before="120" w:after="120"/>
        <w:jc w:val="both"/>
        <w:rPr>
          <w:rFonts w:ascii="Arial" w:hAnsi="Arial" w:cs="Arial"/>
          <w:sz w:val="22"/>
          <w:szCs w:val="22"/>
        </w:rPr>
      </w:pPr>
      <w:r w:rsidRPr="00DC5989">
        <w:rPr>
          <w:rFonts w:ascii="Arial" w:hAnsi="Arial" w:cs="Arial"/>
          <w:sz w:val="22"/>
          <w:szCs w:val="22"/>
        </w:rPr>
        <w:t xml:space="preserve">Todo ello </w:t>
      </w:r>
      <w:r w:rsidR="003E28AE" w:rsidRPr="00DC5989">
        <w:rPr>
          <w:rFonts w:ascii="Arial" w:hAnsi="Arial" w:cs="Arial"/>
          <w:sz w:val="22"/>
          <w:szCs w:val="22"/>
        </w:rPr>
        <w:t xml:space="preserve">en cumplimiento de lo establecido por </w:t>
      </w:r>
      <w:r w:rsidR="00870A33" w:rsidRPr="00DC5989">
        <w:rPr>
          <w:rFonts w:ascii="Arial" w:hAnsi="Arial" w:cs="Arial"/>
          <w:sz w:val="22"/>
          <w:szCs w:val="22"/>
        </w:rPr>
        <w:t>el</w:t>
      </w:r>
      <w:r w:rsidR="003E28AE" w:rsidRPr="00DC5989">
        <w:rPr>
          <w:rFonts w:ascii="Arial" w:hAnsi="Arial" w:cs="Arial"/>
          <w:sz w:val="22"/>
          <w:szCs w:val="22"/>
        </w:rPr>
        <w:t xml:space="preserve"> </w:t>
      </w:r>
      <w:r w:rsidRPr="00DC5989">
        <w:rPr>
          <w:rFonts w:ascii="Arial" w:hAnsi="Arial" w:cs="Arial"/>
          <w:sz w:val="22"/>
          <w:szCs w:val="22"/>
        </w:rPr>
        <w:t>artículo 14.5 de la Ley 6/2022.</w:t>
      </w:r>
    </w:p>
    <w:p w:rsidR="00AF31EC" w:rsidRPr="00DC5989" w:rsidRDefault="00AF31EC" w:rsidP="00072ED1">
      <w:pPr>
        <w:spacing w:before="120" w:after="120"/>
        <w:jc w:val="both"/>
        <w:rPr>
          <w:rFonts w:ascii="Arial" w:hAnsi="Arial" w:cs="Arial"/>
          <w:b/>
          <w:sz w:val="22"/>
          <w:szCs w:val="22"/>
        </w:rPr>
      </w:pPr>
    </w:p>
    <w:p w:rsidR="00AF31EC" w:rsidRPr="00DC5989" w:rsidRDefault="00AF31EC" w:rsidP="00AF31EC">
      <w:pPr>
        <w:pStyle w:val="Prrafodelista"/>
        <w:numPr>
          <w:ilvl w:val="0"/>
          <w:numId w:val="4"/>
        </w:numPr>
        <w:spacing w:before="120" w:after="120"/>
        <w:jc w:val="both"/>
        <w:rPr>
          <w:rFonts w:ascii="Arial" w:hAnsi="Arial" w:cs="Arial"/>
          <w:b/>
          <w:sz w:val="22"/>
          <w:szCs w:val="22"/>
        </w:rPr>
      </w:pPr>
      <w:r w:rsidRPr="00DC5989">
        <w:rPr>
          <w:rFonts w:ascii="Arial" w:hAnsi="Arial" w:cs="Arial"/>
          <w:b/>
          <w:sz w:val="22"/>
          <w:szCs w:val="22"/>
        </w:rPr>
        <w:t>Órgano administrativo al que se encomienda la instrucción:</w:t>
      </w:r>
    </w:p>
    <w:p w:rsidR="00226625" w:rsidRPr="00DC5989" w:rsidRDefault="00226625" w:rsidP="00226625">
      <w:pPr>
        <w:pStyle w:val="Prrafodelista"/>
        <w:spacing w:before="120" w:after="120"/>
        <w:jc w:val="both"/>
        <w:rPr>
          <w:rFonts w:ascii="Arial" w:hAnsi="Arial" w:cs="Arial"/>
          <w:b/>
          <w:sz w:val="22"/>
          <w:szCs w:val="22"/>
        </w:rPr>
      </w:pPr>
    </w:p>
    <w:p w:rsidR="00AF31EC" w:rsidRPr="00DC5989" w:rsidRDefault="00AF31EC" w:rsidP="00AF31EC">
      <w:pPr>
        <w:spacing w:before="120" w:after="120"/>
        <w:jc w:val="both"/>
        <w:rPr>
          <w:rFonts w:ascii="Arial" w:hAnsi="Arial" w:cs="Arial"/>
          <w:sz w:val="22"/>
          <w:szCs w:val="22"/>
        </w:rPr>
      </w:pPr>
      <w:r w:rsidRPr="00DC5989">
        <w:rPr>
          <w:rFonts w:ascii="Arial" w:hAnsi="Arial" w:cs="Arial"/>
          <w:sz w:val="22"/>
          <w:szCs w:val="22"/>
        </w:rPr>
        <w:t>Corresponderá la instrucción del procedimiento de elaboración de la modificación propuesta a la Dirección de Economía Social.</w:t>
      </w:r>
    </w:p>
    <w:p w:rsidR="00AF31EC" w:rsidRPr="00DC5989" w:rsidRDefault="00AF31EC" w:rsidP="00AF31EC">
      <w:pPr>
        <w:spacing w:before="120" w:after="120"/>
        <w:jc w:val="both"/>
        <w:rPr>
          <w:rFonts w:ascii="Arial" w:hAnsi="Arial" w:cs="Arial"/>
          <w:b/>
          <w:sz w:val="22"/>
          <w:szCs w:val="22"/>
        </w:rPr>
      </w:pPr>
    </w:p>
    <w:p w:rsidR="00AF31EC" w:rsidRPr="00DC5989" w:rsidRDefault="00AF31EC" w:rsidP="00AF31EC">
      <w:pPr>
        <w:pStyle w:val="Prrafodelista"/>
        <w:numPr>
          <w:ilvl w:val="0"/>
          <w:numId w:val="4"/>
        </w:numPr>
        <w:spacing w:before="120" w:after="120"/>
        <w:jc w:val="both"/>
        <w:rPr>
          <w:rFonts w:ascii="Arial" w:hAnsi="Arial" w:cs="Arial"/>
          <w:b/>
          <w:sz w:val="22"/>
          <w:szCs w:val="22"/>
        </w:rPr>
      </w:pPr>
      <w:r w:rsidRPr="00DC5989">
        <w:rPr>
          <w:rFonts w:ascii="Arial" w:hAnsi="Arial" w:cs="Arial"/>
          <w:b/>
          <w:sz w:val="22"/>
          <w:szCs w:val="22"/>
        </w:rPr>
        <w:t>Justificación de la oportunidad de su tramitación.</w:t>
      </w:r>
    </w:p>
    <w:p w:rsidR="00D718C6" w:rsidRPr="00DC5989" w:rsidRDefault="00D718C6" w:rsidP="00AF31EC">
      <w:pPr>
        <w:spacing w:before="120" w:after="120"/>
        <w:jc w:val="both"/>
        <w:rPr>
          <w:rFonts w:ascii="Arial" w:hAnsi="Arial" w:cs="Arial"/>
          <w:sz w:val="22"/>
          <w:szCs w:val="22"/>
        </w:rPr>
      </w:pPr>
    </w:p>
    <w:p w:rsidR="00AF31EC" w:rsidRPr="00DC5989" w:rsidRDefault="00AF31EC" w:rsidP="00AF31EC">
      <w:pPr>
        <w:spacing w:before="120" w:after="120"/>
        <w:jc w:val="both"/>
        <w:rPr>
          <w:rFonts w:ascii="Arial" w:hAnsi="Arial" w:cs="Arial"/>
          <w:sz w:val="22"/>
          <w:szCs w:val="22"/>
        </w:rPr>
      </w:pPr>
      <w:r w:rsidRPr="00DC5989">
        <w:rPr>
          <w:rFonts w:ascii="Arial" w:hAnsi="Arial" w:cs="Arial"/>
          <w:sz w:val="22"/>
          <w:szCs w:val="22"/>
        </w:rPr>
        <w:t>Advertida la necesidad de modificar la norma, la evitación de las cargas administrativas que pretende aligerar la modificación propuesta, justifica la oportunidad de su tr</w:t>
      </w:r>
      <w:r w:rsidR="00226625" w:rsidRPr="00DC5989">
        <w:rPr>
          <w:rFonts w:ascii="Arial" w:hAnsi="Arial" w:cs="Arial"/>
          <w:sz w:val="22"/>
          <w:szCs w:val="22"/>
        </w:rPr>
        <w:t>amitación; así como la concentración de t</w:t>
      </w:r>
      <w:r w:rsidR="00163584" w:rsidRPr="00DC5989">
        <w:rPr>
          <w:rFonts w:ascii="Arial" w:hAnsi="Arial" w:cs="Arial"/>
          <w:sz w:val="22"/>
          <w:szCs w:val="22"/>
        </w:rPr>
        <w:t>r</w:t>
      </w:r>
      <w:r w:rsidR="00226625" w:rsidRPr="00DC5989">
        <w:rPr>
          <w:rFonts w:ascii="Arial" w:hAnsi="Arial" w:cs="Arial"/>
          <w:sz w:val="22"/>
          <w:szCs w:val="22"/>
        </w:rPr>
        <w:t>ámites y el impulso para su realización telemática, de conformidad con el artículo 16 de la Ley 6/2022.</w:t>
      </w:r>
    </w:p>
    <w:p w:rsidR="00072ED1" w:rsidRPr="00DC5989" w:rsidRDefault="00072ED1" w:rsidP="00072ED1">
      <w:pPr>
        <w:spacing w:before="120" w:after="120"/>
        <w:jc w:val="both"/>
        <w:rPr>
          <w:rFonts w:ascii="Arial" w:hAnsi="Arial" w:cs="Arial"/>
          <w:sz w:val="22"/>
          <w:szCs w:val="22"/>
        </w:rPr>
      </w:pPr>
    </w:p>
    <w:p w:rsidR="0078101B" w:rsidRPr="00DC5989" w:rsidRDefault="0078101B" w:rsidP="0078101B">
      <w:pPr>
        <w:pStyle w:val="Prrafodelista"/>
        <w:numPr>
          <w:ilvl w:val="0"/>
          <w:numId w:val="1"/>
        </w:numPr>
        <w:spacing w:before="120"/>
        <w:jc w:val="both"/>
        <w:rPr>
          <w:rFonts w:ascii="Arial" w:hAnsi="Arial" w:cs="Arial"/>
          <w:sz w:val="22"/>
          <w:szCs w:val="22"/>
        </w:rPr>
      </w:pPr>
      <w:r w:rsidRPr="00DC5989">
        <w:rPr>
          <w:rFonts w:ascii="Arial" w:hAnsi="Arial" w:cs="Arial"/>
          <w:sz w:val="22"/>
          <w:szCs w:val="22"/>
        </w:rPr>
        <w:t>Una vez finalizada la tramitación del proyecto del Decreto, y con carácter previo a su aprobación por el Consejo de Gobierno, se elaborará una memoria sucinta de todo el procedimiento, reseñando los antecedentes y trámites realizados</w:t>
      </w:r>
      <w:r w:rsidR="00163584" w:rsidRPr="00DC5989">
        <w:rPr>
          <w:rFonts w:ascii="Arial" w:hAnsi="Arial" w:cs="Arial"/>
          <w:sz w:val="22"/>
          <w:szCs w:val="22"/>
        </w:rPr>
        <w:t xml:space="preserve">, </w:t>
      </w:r>
      <w:r w:rsidRPr="00DC5989">
        <w:rPr>
          <w:rFonts w:ascii="Arial" w:hAnsi="Arial" w:cs="Arial"/>
          <w:sz w:val="22"/>
          <w:szCs w:val="22"/>
        </w:rPr>
        <w:t xml:space="preserve">así como las modificaciones realizadas en el texto del proyecto, según se detalla en el artículo 24 de la Ley </w:t>
      </w:r>
      <w:r w:rsidR="00D718C6" w:rsidRPr="00DC5989">
        <w:rPr>
          <w:rFonts w:ascii="Arial" w:hAnsi="Arial" w:cs="Arial"/>
          <w:sz w:val="22"/>
          <w:szCs w:val="22"/>
        </w:rPr>
        <w:t>6/2022</w:t>
      </w:r>
      <w:r w:rsidRPr="00DC5989">
        <w:rPr>
          <w:rFonts w:ascii="Arial" w:hAnsi="Arial" w:cs="Arial"/>
          <w:sz w:val="22"/>
          <w:szCs w:val="22"/>
        </w:rPr>
        <w:t>.</w:t>
      </w:r>
    </w:p>
    <w:p w:rsidR="0078101B" w:rsidRPr="00DC5989" w:rsidRDefault="0078101B" w:rsidP="0078101B">
      <w:pPr>
        <w:spacing w:before="120" w:after="120" w:line="276" w:lineRule="auto"/>
        <w:jc w:val="both"/>
        <w:rPr>
          <w:rFonts w:ascii="Arial" w:hAnsi="Arial" w:cs="Arial"/>
          <w:sz w:val="22"/>
          <w:szCs w:val="22"/>
        </w:rPr>
      </w:pPr>
    </w:p>
    <w:p w:rsidR="0078101B" w:rsidRPr="00DC5989" w:rsidRDefault="0078101B" w:rsidP="00627916">
      <w:pPr>
        <w:pStyle w:val="Prrafodelista"/>
        <w:spacing w:line="276" w:lineRule="auto"/>
        <w:jc w:val="both"/>
        <w:rPr>
          <w:rFonts w:ascii="Arial" w:hAnsi="Arial" w:cs="Arial"/>
          <w:b/>
          <w:sz w:val="22"/>
          <w:szCs w:val="22"/>
          <w:u w:val="single"/>
        </w:rPr>
      </w:pPr>
    </w:p>
    <w:p w:rsidR="00627916" w:rsidRPr="00DC5989" w:rsidRDefault="00627916" w:rsidP="00627916">
      <w:pPr>
        <w:spacing w:line="276" w:lineRule="auto"/>
        <w:jc w:val="both"/>
        <w:rPr>
          <w:rFonts w:ascii="Arial" w:eastAsia="Arial" w:hAnsi="Arial" w:cs="Arial"/>
          <w:spacing w:val="-1"/>
          <w:sz w:val="22"/>
          <w:szCs w:val="22"/>
        </w:rPr>
      </w:pPr>
      <w:r w:rsidRPr="00DC5989">
        <w:rPr>
          <w:rFonts w:ascii="Arial" w:eastAsia="Arial" w:hAnsi="Arial" w:cs="Arial"/>
          <w:spacing w:val="-1"/>
          <w:sz w:val="22"/>
          <w:szCs w:val="22"/>
        </w:rPr>
        <w:t>En base a todos los antecedentes expresados, de conformidad con lo dispuesto en e</w:t>
      </w:r>
      <w:r w:rsidR="00D718C6" w:rsidRPr="00DC5989">
        <w:rPr>
          <w:rFonts w:ascii="Arial" w:eastAsia="Arial" w:hAnsi="Arial" w:cs="Arial"/>
          <w:spacing w:val="-1"/>
          <w:sz w:val="22"/>
          <w:szCs w:val="22"/>
        </w:rPr>
        <w:t xml:space="preserve">l artículo 12 de la Ley 6/2022 </w:t>
      </w:r>
      <w:r w:rsidRPr="00DC5989">
        <w:rPr>
          <w:rFonts w:ascii="Arial" w:eastAsia="Arial" w:hAnsi="Arial" w:cs="Arial"/>
          <w:spacing w:val="-1"/>
          <w:sz w:val="22"/>
          <w:szCs w:val="22"/>
        </w:rPr>
        <w:t xml:space="preserve">y en ejercicio de las competencias atribuidas por el artículo 6 del Decreto 18/2020, de 6 de septiembre, del Lehendakari, de creación, supresión y modificación de los Departamentos de la Administración de la Comunidad Autónoma del País Vasco y de determinación de funciones y áreas de actuación de los mismos, y en </w:t>
      </w:r>
      <w:r w:rsidRPr="00DC5989">
        <w:rPr>
          <w:rFonts w:ascii="Arial" w:eastAsia="Arial" w:hAnsi="Arial" w:cs="Arial"/>
          <w:spacing w:val="-1"/>
          <w:sz w:val="22"/>
          <w:szCs w:val="22"/>
        </w:rPr>
        <w:lastRenderedPageBreak/>
        <w:t>virtud de lo especificado en el Decreto 7/2021 de 19 de enero, por el que se establece la estructura orgánica y funcional del Departamento de Trabajo y Empleo,</w:t>
      </w:r>
    </w:p>
    <w:p w:rsidR="00627916" w:rsidRPr="00DC5989" w:rsidRDefault="00627916" w:rsidP="00627916">
      <w:pPr>
        <w:spacing w:line="276" w:lineRule="auto"/>
        <w:jc w:val="both"/>
        <w:rPr>
          <w:rFonts w:ascii="Arial" w:eastAsia="Arial" w:hAnsi="Arial" w:cs="Arial"/>
          <w:spacing w:val="-1"/>
          <w:sz w:val="22"/>
          <w:szCs w:val="22"/>
        </w:rPr>
      </w:pPr>
    </w:p>
    <w:p w:rsidR="003E28AE" w:rsidRPr="00DC5989" w:rsidRDefault="003E28AE" w:rsidP="00627916">
      <w:pPr>
        <w:spacing w:line="276" w:lineRule="auto"/>
        <w:jc w:val="center"/>
        <w:rPr>
          <w:rFonts w:ascii="Arial" w:eastAsia="Arial" w:hAnsi="Arial" w:cs="Arial"/>
          <w:b/>
          <w:spacing w:val="-1"/>
          <w:sz w:val="22"/>
          <w:szCs w:val="22"/>
        </w:rPr>
      </w:pPr>
    </w:p>
    <w:p w:rsidR="00627916" w:rsidRPr="00DC5989" w:rsidRDefault="00627916" w:rsidP="00627916">
      <w:pPr>
        <w:spacing w:line="276" w:lineRule="auto"/>
        <w:jc w:val="center"/>
        <w:rPr>
          <w:rFonts w:ascii="Arial" w:eastAsia="Arial" w:hAnsi="Arial" w:cs="Arial"/>
          <w:b/>
          <w:spacing w:val="-1"/>
          <w:sz w:val="22"/>
          <w:szCs w:val="22"/>
        </w:rPr>
      </w:pPr>
      <w:r w:rsidRPr="00DC5989">
        <w:rPr>
          <w:rFonts w:ascii="Arial" w:eastAsia="Arial" w:hAnsi="Arial" w:cs="Arial"/>
          <w:b/>
          <w:spacing w:val="-1"/>
          <w:sz w:val="22"/>
          <w:szCs w:val="22"/>
        </w:rPr>
        <w:t>RESUELVO:</w:t>
      </w:r>
    </w:p>
    <w:p w:rsidR="00627916" w:rsidRPr="00DC5989" w:rsidRDefault="00627916" w:rsidP="00627916">
      <w:pPr>
        <w:spacing w:line="276" w:lineRule="auto"/>
        <w:jc w:val="both"/>
        <w:rPr>
          <w:rFonts w:ascii="Arial" w:eastAsia="Arial" w:hAnsi="Arial" w:cs="Arial"/>
          <w:spacing w:val="-1"/>
          <w:sz w:val="22"/>
          <w:szCs w:val="22"/>
        </w:rPr>
      </w:pPr>
    </w:p>
    <w:p w:rsidR="00627916" w:rsidRPr="00DC5989" w:rsidRDefault="00627916" w:rsidP="00627916">
      <w:pPr>
        <w:spacing w:line="276" w:lineRule="auto"/>
        <w:jc w:val="both"/>
        <w:rPr>
          <w:rFonts w:ascii="Arial" w:eastAsia="Arial" w:hAnsi="Arial" w:cs="Arial"/>
          <w:spacing w:val="-1"/>
          <w:sz w:val="22"/>
          <w:szCs w:val="22"/>
        </w:rPr>
      </w:pPr>
    </w:p>
    <w:p w:rsidR="009F2AE0" w:rsidRPr="009F2AE0" w:rsidRDefault="00627916" w:rsidP="009F2AE0">
      <w:pPr>
        <w:spacing w:line="276" w:lineRule="auto"/>
        <w:jc w:val="both"/>
        <w:rPr>
          <w:rFonts w:ascii="Arial" w:eastAsia="Calibri" w:hAnsi="Arial" w:cs="Arial"/>
          <w:sz w:val="22"/>
          <w:szCs w:val="22"/>
        </w:rPr>
      </w:pPr>
      <w:r w:rsidRPr="00DC5989">
        <w:rPr>
          <w:rFonts w:ascii="Arial" w:eastAsia="Arial" w:hAnsi="Arial" w:cs="Arial"/>
          <w:b/>
          <w:i/>
          <w:spacing w:val="-1"/>
          <w:sz w:val="22"/>
          <w:szCs w:val="22"/>
        </w:rPr>
        <w:t>PRIMERO</w:t>
      </w:r>
      <w:r w:rsidRPr="00DC5989">
        <w:rPr>
          <w:rFonts w:ascii="Arial" w:eastAsia="Arial" w:hAnsi="Arial" w:cs="Arial"/>
          <w:spacing w:val="-1"/>
          <w:sz w:val="22"/>
          <w:szCs w:val="22"/>
        </w:rPr>
        <w:t xml:space="preserve">.- Iniciar el procedimiento de elaboración del Proyecto de Decreto de modificación del </w:t>
      </w:r>
      <w:r w:rsidRPr="00DC5989">
        <w:rPr>
          <w:rFonts w:ascii="Arial" w:hAnsi="Arial" w:cs="Arial"/>
          <w:sz w:val="22"/>
          <w:szCs w:val="22"/>
        </w:rPr>
        <w:t>Reglamento de organización y funcionamiento del Registro de asociaciones profesionales de trabajadores autónomos de Euskadi</w:t>
      </w:r>
      <w:r w:rsidR="009F2AE0">
        <w:rPr>
          <w:rFonts w:ascii="Arial" w:hAnsi="Arial" w:cs="Arial"/>
          <w:sz w:val="22"/>
          <w:szCs w:val="22"/>
        </w:rPr>
        <w:t xml:space="preserve">, aprobado por el Decreto </w:t>
      </w:r>
      <w:r w:rsidR="009F2AE0" w:rsidRPr="009F2AE0">
        <w:rPr>
          <w:rFonts w:ascii="Arial" w:hAnsi="Arial" w:cs="Arial"/>
          <w:sz w:val="22"/>
          <w:szCs w:val="22"/>
        </w:rPr>
        <w:t>181/2021, de 20 de julio.</w:t>
      </w:r>
    </w:p>
    <w:p w:rsidR="00627916" w:rsidRPr="00DC5989" w:rsidRDefault="00627916" w:rsidP="00627916">
      <w:pPr>
        <w:spacing w:line="276" w:lineRule="auto"/>
        <w:jc w:val="both"/>
        <w:rPr>
          <w:rFonts w:ascii="Arial" w:eastAsia="Arial" w:hAnsi="Arial" w:cs="Arial"/>
          <w:spacing w:val="-1"/>
          <w:sz w:val="22"/>
          <w:szCs w:val="22"/>
        </w:rPr>
      </w:pPr>
    </w:p>
    <w:p w:rsidR="00627916" w:rsidRPr="00DC5989" w:rsidRDefault="00627916" w:rsidP="00627916">
      <w:pPr>
        <w:spacing w:line="276" w:lineRule="auto"/>
        <w:jc w:val="both"/>
        <w:rPr>
          <w:rFonts w:ascii="Arial" w:eastAsia="Arial" w:hAnsi="Arial" w:cs="Arial"/>
          <w:spacing w:val="-1"/>
          <w:sz w:val="22"/>
          <w:szCs w:val="22"/>
        </w:rPr>
      </w:pPr>
    </w:p>
    <w:p w:rsidR="00627916" w:rsidRPr="00DC5989" w:rsidRDefault="00627916" w:rsidP="00627916">
      <w:pPr>
        <w:spacing w:before="120" w:after="120" w:line="276" w:lineRule="auto"/>
        <w:jc w:val="both"/>
        <w:rPr>
          <w:rFonts w:ascii="Arial" w:hAnsi="Arial" w:cs="Arial"/>
          <w:sz w:val="22"/>
          <w:szCs w:val="22"/>
        </w:rPr>
      </w:pPr>
      <w:r w:rsidRPr="00DC5989">
        <w:rPr>
          <w:rFonts w:ascii="Arial" w:hAnsi="Arial" w:cs="Arial"/>
          <w:b/>
          <w:i/>
          <w:sz w:val="22"/>
          <w:szCs w:val="22"/>
        </w:rPr>
        <w:t xml:space="preserve">SEGUNDO.- </w:t>
      </w:r>
      <w:r w:rsidRPr="00DC5989">
        <w:rPr>
          <w:rFonts w:ascii="Arial" w:hAnsi="Arial" w:cs="Arial"/>
          <w:sz w:val="22"/>
          <w:szCs w:val="22"/>
        </w:rPr>
        <w:t>Designar</w:t>
      </w:r>
      <w:r w:rsidRPr="00DC5989">
        <w:rPr>
          <w:rFonts w:ascii="Arial" w:hAnsi="Arial" w:cs="Arial"/>
          <w:i/>
          <w:sz w:val="22"/>
          <w:szCs w:val="22"/>
        </w:rPr>
        <w:t xml:space="preserve"> </w:t>
      </w:r>
      <w:r w:rsidRPr="00DC5989">
        <w:rPr>
          <w:rFonts w:ascii="Arial" w:hAnsi="Arial" w:cs="Arial"/>
          <w:sz w:val="22"/>
          <w:szCs w:val="22"/>
        </w:rPr>
        <w:t>a</w:t>
      </w:r>
      <w:r w:rsidRPr="00DC5989">
        <w:rPr>
          <w:rFonts w:ascii="Arial" w:hAnsi="Arial" w:cs="Arial"/>
          <w:i/>
          <w:sz w:val="22"/>
          <w:szCs w:val="22"/>
        </w:rPr>
        <w:t xml:space="preserve"> </w:t>
      </w:r>
      <w:r w:rsidRPr="00DC5989">
        <w:rPr>
          <w:rFonts w:ascii="Arial" w:hAnsi="Arial" w:cs="Arial"/>
          <w:sz w:val="22"/>
          <w:szCs w:val="22"/>
        </w:rPr>
        <w:t>la Dirección de Economía Social del Departamento de Trabajo y Empleo como órgano encargado de tramitación del procedimiento anteriormente citado.</w:t>
      </w:r>
    </w:p>
    <w:p w:rsidR="00627916" w:rsidRPr="00DC5989" w:rsidRDefault="00627916" w:rsidP="00627916">
      <w:pPr>
        <w:spacing w:before="120" w:after="120" w:line="276" w:lineRule="auto"/>
        <w:jc w:val="both"/>
        <w:rPr>
          <w:rFonts w:ascii="Arial" w:hAnsi="Arial" w:cs="Arial"/>
          <w:b/>
          <w:i/>
          <w:sz w:val="22"/>
          <w:szCs w:val="22"/>
        </w:rPr>
      </w:pPr>
    </w:p>
    <w:p w:rsidR="00627916" w:rsidRPr="00DC5989" w:rsidRDefault="00627916" w:rsidP="00627916">
      <w:pPr>
        <w:spacing w:before="120" w:after="120" w:line="276" w:lineRule="auto"/>
        <w:jc w:val="both"/>
        <w:rPr>
          <w:rFonts w:ascii="Arial" w:hAnsi="Arial" w:cs="Arial"/>
          <w:sz w:val="22"/>
          <w:szCs w:val="22"/>
        </w:rPr>
      </w:pPr>
      <w:r w:rsidRPr="00DC5989">
        <w:rPr>
          <w:rFonts w:ascii="Arial" w:hAnsi="Arial" w:cs="Arial"/>
          <w:b/>
          <w:i/>
          <w:sz w:val="22"/>
          <w:szCs w:val="22"/>
        </w:rPr>
        <w:t>TERCERO</w:t>
      </w:r>
      <w:r w:rsidRPr="00DC5989">
        <w:rPr>
          <w:rFonts w:ascii="Arial" w:hAnsi="Arial" w:cs="Arial"/>
          <w:b/>
          <w:sz w:val="22"/>
          <w:szCs w:val="22"/>
        </w:rPr>
        <w:t xml:space="preserve">.- </w:t>
      </w:r>
      <w:r w:rsidRPr="00DC5989">
        <w:rPr>
          <w:rFonts w:ascii="Arial" w:hAnsi="Arial" w:cs="Arial"/>
          <w:sz w:val="22"/>
          <w:szCs w:val="22"/>
        </w:rPr>
        <w:t>Declarar la urgencia del procedimiento, en aplicación del artículo 6 de la Ley 6/2022, a fin de no repetir parte de los trámites ya efectuados y que no hayan perdido vigencia, y dar la máxima celeridad a los trámites conducentes a la aprobación y publicación de la modificación del decreto</w:t>
      </w:r>
      <w:r w:rsidR="0071339D" w:rsidRPr="00DC5989">
        <w:rPr>
          <w:rFonts w:ascii="Arial" w:hAnsi="Arial" w:cs="Arial"/>
          <w:sz w:val="22"/>
          <w:szCs w:val="22"/>
        </w:rPr>
        <w:t>.</w:t>
      </w:r>
    </w:p>
    <w:p w:rsidR="00627916" w:rsidRPr="00DC5989" w:rsidRDefault="00627916" w:rsidP="00627916">
      <w:pPr>
        <w:spacing w:before="120" w:after="120" w:line="276" w:lineRule="auto"/>
        <w:jc w:val="both"/>
        <w:rPr>
          <w:rFonts w:ascii="Arial" w:hAnsi="Arial" w:cs="Arial"/>
          <w:b/>
          <w:sz w:val="22"/>
          <w:szCs w:val="22"/>
        </w:rPr>
      </w:pPr>
    </w:p>
    <w:p w:rsidR="00627916" w:rsidRPr="00DC5989" w:rsidRDefault="00627916" w:rsidP="00627916">
      <w:pPr>
        <w:spacing w:before="120" w:after="120" w:line="276" w:lineRule="auto"/>
        <w:jc w:val="both"/>
        <w:rPr>
          <w:rFonts w:ascii="Arial" w:hAnsi="Arial" w:cs="Arial"/>
          <w:sz w:val="22"/>
          <w:szCs w:val="22"/>
        </w:rPr>
      </w:pPr>
      <w:r w:rsidRPr="00DC5989">
        <w:rPr>
          <w:rFonts w:ascii="Arial" w:hAnsi="Arial" w:cs="Arial"/>
          <w:b/>
          <w:i/>
          <w:sz w:val="22"/>
          <w:szCs w:val="22"/>
        </w:rPr>
        <w:t>CUARTO</w:t>
      </w:r>
      <w:r w:rsidRPr="00DC5989">
        <w:rPr>
          <w:rFonts w:ascii="Arial" w:hAnsi="Arial" w:cs="Arial"/>
          <w:b/>
          <w:sz w:val="22"/>
          <w:szCs w:val="22"/>
        </w:rPr>
        <w:t xml:space="preserve">.- </w:t>
      </w:r>
      <w:r w:rsidRPr="00DC5989">
        <w:rPr>
          <w:rFonts w:ascii="Arial" w:hAnsi="Arial" w:cs="Arial"/>
          <w:sz w:val="22"/>
          <w:szCs w:val="22"/>
        </w:rPr>
        <w:t xml:space="preserve">De conformidad </w:t>
      </w:r>
      <w:r w:rsidR="000147FF" w:rsidRPr="00DC5989">
        <w:rPr>
          <w:rFonts w:ascii="Arial" w:hAnsi="Arial" w:cs="Arial"/>
          <w:sz w:val="22"/>
          <w:szCs w:val="22"/>
        </w:rPr>
        <w:t>con lo dispuesto en el artículo 13.2 de la Ley 6/2022,</w:t>
      </w:r>
      <w:r w:rsidR="00FE6C72" w:rsidRPr="00DC5989">
        <w:rPr>
          <w:rFonts w:ascii="Arial" w:hAnsi="Arial" w:cs="Arial"/>
          <w:sz w:val="22"/>
          <w:szCs w:val="22"/>
        </w:rPr>
        <w:t xml:space="preserve"> y a los efectos en él previstos,</w:t>
      </w:r>
      <w:r w:rsidR="000147FF" w:rsidRPr="00DC5989">
        <w:rPr>
          <w:rFonts w:ascii="Arial" w:hAnsi="Arial" w:cs="Arial"/>
          <w:sz w:val="22"/>
          <w:szCs w:val="22"/>
        </w:rPr>
        <w:t xml:space="preserve"> la presente Orden deberá publicarse en el tablón de anuncios de la sede electrónica de la Administración Pública de la Comunidad Autónoma de Euskadi</w:t>
      </w:r>
      <w:r w:rsidRPr="00DC5989">
        <w:rPr>
          <w:rFonts w:ascii="Arial" w:hAnsi="Arial" w:cs="Arial"/>
          <w:sz w:val="22"/>
          <w:szCs w:val="22"/>
        </w:rPr>
        <w:t>; y en la elaboración y tramitación de su proyecto se utilizará el modelo de tramitación de disposiciones de carácter general y la aplicación electrónica “Tramitagune”.</w:t>
      </w:r>
    </w:p>
    <w:p w:rsidR="00627916" w:rsidRPr="00DC5989" w:rsidRDefault="00627916" w:rsidP="00627916">
      <w:pPr>
        <w:spacing w:before="120" w:after="120" w:line="276" w:lineRule="auto"/>
        <w:jc w:val="both"/>
        <w:rPr>
          <w:rFonts w:ascii="Arial" w:hAnsi="Arial" w:cs="Arial"/>
          <w:sz w:val="22"/>
          <w:szCs w:val="22"/>
        </w:rPr>
      </w:pPr>
    </w:p>
    <w:p w:rsidR="00627916" w:rsidRPr="00DC5989" w:rsidRDefault="00627916" w:rsidP="00627916">
      <w:pPr>
        <w:spacing w:before="120" w:after="120" w:line="276" w:lineRule="auto"/>
        <w:jc w:val="both"/>
        <w:rPr>
          <w:rFonts w:ascii="Arial" w:hAnsi="Arial" w:cs="Arial"/>
          <w:sz w:val="22"/>
          <w:szCs w:val="22"/>
        </w:rPr>
      </w:pPr>
      <w:r w:rsidRPr="00DC5989">
        <w:rPr>
          <w:rFonts w:ascii="Arial" w:hAnsi="Arial" w:cs="Arial"/>
          <w:b/>
          <w:i/>
          <w:sz w:val="22"/>
          <w:szCs w:val="22"/>
        </w:rPr>
        <w:t>QUINTO</w:t>
      </w:r>
      <w:r w:rsidRPr="00DC5989">
        <w:rPr>
          <w:rFonts w:ascii="Arial" w:hAnsi="Arial" w:cs="Arial"/>
          <w:b/>
          <w:sz w:val="22"/>
          <w:szCs w:val="22"/>
        </w:rPr>
        <w:t xml:space="preserve">.- </w:t>
      </w:r>
      <w:r w:rsidRPr="00DC5989">
        <w:rPr>
          <w:rFonts w:ascii="Arial" w:hAnsi="Arial" w:cs="Arial"/>
          <w:sz w:val="22"/>
          <w:szCs w:val="22"/>
        </w:rPr>
        <w:t>Acordar las consultas, así como los estudios e informes que sean precisos para la redacción del texto adecuado al contenido y fin de la norma cuya elaboración se pretende, de conformidad con las premisas expresadas en la parte dispositiva de la presente resolución.</w:t>
      </w:r>
    </w:p>
    <w:p w:rsidR="00627916" w:rsidRPr="00DC5989" w:rsidRDefault="00627916" w:rsidP="00627916">
      <w:pPr>
        <w:spacing w:before="120" w:after="120" w:line="276" w:lineRule="auto"/>
        <w:jc w:val="both"/>
        <w:rPr>
          <w:rFonts w:ascii="Arial" w:hAnsi="Arial" w:cs="Arial"/>
          <w:sz w:val="22"/>
          <w:szCs w:val="22"/>
        </w:rPr>
      </w:pPr>
    </w:p>
    <w:p w:rsidR="00627916" w:rsidRPr="00DC5989" w:rsidRDefault="00627916" w:rsidP="00627916">
      <w:pPr>
        <w:spacing w:line="276" w:lineRule="auto"/>
        <w:jc w:val="center"/>
        <w:rPr>
          <w:rFonts w:ascii="Arial" w:hAnsi="Arial" w:cs="Arial"/>
          <w:sz w:val="22"/>
          <w:szCs w:val="22"/>
        </w:rPr>
      </w:pPr>
    </w:p>
    <w:p w:rsidR="00627916" w:rsidRPr="00DC5989" w:rsidRDefault="00627916" w:rsidP="00627916">
      <w:pPr>
        <w:spacing w:line="276" w:lineRule="auto"/>
        <w:jc w:val="center"/>
        <w:rPr>
          <w:rFonts w:ascii="Arial" w:hAnsi="Arial" w:cs="Arial"/>
          <w:sz w:val="22"/>
          <w:szCs w:val="22"/>
        </w:rPr>
      </w:pPr>
    </w:p>
    <w:p w:rsidR="00627916" w:rsidRPr="00DC5989" w:rsidRDefault="00627916" w:rsidP="00627916">
      <w:pPr>
        <w:spacing w:line="276" w:lineRule="auto"/>
        <w:jc w:val="center"/>
        <w:rPr>
          <w:rFonts w:ascii="Arial" w:hAnsi="Arial" w:cs="Arial"/>
          <w:sz w:val="22"/>
          <w:szCs w:val="22"/>
        </w:rPr>
      </w:pPr>
      <w:r w:rsidRPr="00DC5989">
        <w:rPr>
          <w:rFonts w:ascii="Arial" w:hAnsi="Arial" w:cs="Arial"/>
          <w:sz w:val="22"/>
          <w:szCs w:val="22"/>
        </w:rPr>
        <w:t>IDOIA MENDIA CUEVA.</w:t>
      </w:r>
    </w:p>
    <w:p w:rsidR="00627916" w:rsidRPr="00DC5989" w:rsidRDefault="00627916" w:rsidP="00627916">
      <w:pPr>
        <w:spacing w:line="276" w:lineRule="auto"/>
        <w:jc w:val="center"/>
        <w:rPr>
          <w:rFonts w:ascii="Arial" w:hAnsi="Arial" w:cs="Arial"/>
          <w:sz w:val="22"/>
          <w:szCs w:val="22"/>
        </w:rPr>
      </w:pPr>
      <w:r w:rsidRPr="00DC5989">
        <w:rPr>
          <w:rFonts w:ascii="Arial" w:hAnsi="Arial" w:cs="Arial"/>
          <w:sz w:val="22"/>
          <w:szCs w:val="22"/>
        </w:rPr>
        <w:t>Vicelehendakari Segunda y Consejera de Trabajo y Empleo</w:t>
      </w:r>
    </w:p>
    <w:p w:rsidR="001C3E6C" w:rsidRPr="00DC5989" w:rsidRDefault="001C3E6C">
      <w:pPr>
        <w:rPr>
          <w:rFonts w:ascii="Arial" w:eastAsia="Calibri" w:hAnsi="Arial" w:cs="Arial"/>
          <w:sz w:val="22"/>
          <w:szCs w:val="22"/>
          <w:lang w:eastAsia="en-US"/>
        </w:rPr>
      </w:pPr>
    </w:p>
    <w:p w:rsidR="00E46243" w:rsidRPr="00DC5989" w:rsidRDefault="00E46243" w:rsidP="00E74B35">
      <w:pPr>
        <w:spacing w:line="300" w:lineRule="auto"/>
        <w:jc w:val="both"/>
        <w:rPr>
          <w:rFonts w:ascii="Arial" w:eastAsia="Calibri" w:hAnsi="Arial" w:cs="Arial"/>
          <w:sz w:val="22"/>
          <w:szCs w:val="22"/>
          <w:lang w:eastAsia="en-US"/>
        </w:rPr>
      </w:pPr>
    </w:p>
    <w:sectPr w:rsidR="00E46243" w:rsidRPr="00DC5989" w:rsidSect="007F2793">
      <w:headerReference w:type="default" r:id="rId12"/>
      <w:headerReference w:type="first" r:id="rId13"/>
      <w:footerReference w:type="first" r:id="rId14"/>
      <w:type w:val="continuous"/>
      <w:pgSz w:w="11907" w:h="16840" w:code="9"/>
      <w:pgMar w:top="1900" w:right="1701" w:bottom="1418" w:left="1701" w:header="720" w:footer="7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1A7" w:rsidRDefault="009361A7">
      <w:r>
        <w:separator/>
      </w:r>
    </w:p>
  </w:endnote>
  <w:endnote w:type="continuationSeparator" w:id="0">
    <w:p w:rsidR="009361A7" w:rsidRDefault="0093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231759"/>
      <w:docPartObj>
        <w:docPartGallery w:val="Page Numbers (Bottom of Page)"/>
        <w:docPartUnique/>
      </w:docPartObj>
    </w:sdtPr>
    <w:sdtEndPr/>
    <w:sdtContent>
      <w:sdt>
        <w:sdtPr>
          <w:id w:val="-1769616900"/>
          <w:docPartObj>
            <w:docPartGallery w:val="Page Numbers (Top of Page)"/>
            <w:docPartUnique/>
          </w:docPartObj>
        </w:sdtPr>
        <w:sdtEndPr/>
        <w:sdtContent>
          <w:p w:rsidR="00D16479" w:rsidRPr="00D16479" w:rsidRDefault="00D16479">
            <w:pPr>
              <w:pStyle w:val="Piedepgina"/>
              <w:jc w:val="right"/>
            </w:pPr>
            <w:r w:rsidRPr="00D16479">
              <w:t xml:space="preserve">Página </w:t>
            </w:r>
            <w:r w:rsidRPr="00D16479">
              <w:rPr>
                <w:bCs/>
                <w:sz w:val="24"/>
                <w:szCs w:val="24"/>
              </w:rPr>
              <w:fldChar w:fldCharType="begin"/>
            </w:r>
            <w:r w:rsidRPr="00D16479">
              <w:rPr>
                <w:bCs/>
              </w:rPr>
              <w:instrText>PAGE</w:instrText>
            </w:r>
            <w:r w:rsidRPr="00D16479">
              <w:rPr>
                <w:bCs/>
                <w:sz w:val="24"/>
                <w:szCs w:val="24"/>
              </w:rPr>
              <w:fldChar w:fldCharType="separate"/>
            </w:r>
            <w:r w:rsidR="002109AF">
              <w:rPr>
                <w:bCs/>
                <w:noProof/>
              </w:rPr>
              <w:t>9</w:t>
            </w:r>
            <w:r w:rsidRPr="00D16479">
              <w:rPr>
                <w:bCs/>
                <w:sz w:val="24"/>
                <w:szCs w:val="24"/>
              </w:rPr>
              <w:fldChar w:fldCharType="end"/>
            </w:r>
            <w:r w:rsidRPr="00D16479">
              <w:t xml:space="preserve"> de </w:t>
            </w:r>
            <w:r w:rsidRPr="00D16479">
              <w:rPr>
                <w:bCs/>
                <w:sz w:val="24"/>
                <w:szCs w:val="24"/>
              </w:rPr>
              <w:fldChar w:fldCharType="begin"/>
            </w:r>
            <w:r w:rsidRPr="00D16479">
              <w:rPr>
                <w:bCs/>
              </w:rPr>
              <w:instrText>NUMPAGES</w:instrText>
            </w:r>
            <w:r w:rsidRPr="00D16479">
              <w:rPr>
                <w:bCs/>
                <w:sz w:val="24"/>
                <w:szCs w:val="24"/>
              </w:rPr>
              <w:fldChar w:fldCharType="separate"/>
            </w:r>
            <w:r w:rsidR="002109AF">
              <w:rPr>
                <w:bCs/>
                <w:noProof/>
              </w:rPr>
              <w:t>9</w:t>
            </w:r>
            <w:r w:rsidRPr="00D16479">
              <w:rPr>
                <w:bCs/>
                <w:sz w:val="24"/>
                <w:szCs w:val="24"/>
              </w:rPr>
              <w:fldChar w:fldCharType="end"/>
            </w:r>
          </w:p>
        </w:sdtContent>
      </w:sdt>
    </w:sdtContent>
  </w:sdt>
  <w:p w:rsidR="001C3E6C" w:rsidRDefault="001C3E6C" w:rsidP="001C3E6C">
    <w:pPr>
      <w:pStyle w:val="Piedepgina"/>
      <w:ind w:left="-113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266102"/>
      <w:docPartObj>
        <w:docPartGallery w:val="Page Numbers (Bottom of Page)"/>
        <w:docPartUnique/>
      </w:docPartObj>
    </w:sdtPr>
    <w:sdtEndPr/>
    <w:sdtContent>
      <w:sdt>
        <w:sdtPr>
          <w:id w:val="-1705238520"/>
          <w:docPartObj>
            <w:docPartGallery w:val="Page Numbers (Top of Page)"/>
            <w:docPartUnique/>
          </w:docPartObj>
        </w:sdtPr>
        <w:sdtEndPr/>
        <w:sdtContent>
          <w:p w:rsidR="00870A33" w:rsidRPr="00870A33" w:rsidRDefault="00870A33">
            <w:pPr>
              <w:pStyle w:val="Piedepgina"/>
            </w:pPr>
            <w:r w:rsidRPr="00870A33">
              <w:t xml:space="preserve">Página </w:t>
            </w:r>
            <w:r w:rsidRPr="00870A33">
              <w:rPr>
                <w:bCs/>
                <w:sz w:val="24"/>
                <w:szCs w:val="24"/>
              </w:rPr>
              <w:fldChar w:fldCharType="begin"/>
            </w:r>
            <w:r w:rsidRPr="00870A33">
              <w:rPr>
                <w:bCs/>
              </w:rPr>
              <w:instrText>PAGE</w:instrText>
            </w:r>
            <w:r w:rsidRPr="00870A33">
              <w:rPr>
                <w:bCs/>
                <w:sz w:val="24"/>
                <w:szCs w:val="24"/>
              </w:rPr>
              <w:fldChar w:fldCharType="separate"/>
            </w:r>
            <w:r w:rsidR="002109AF">
              <w:rPr>
                <w:bCs/>
                <w:noProof/>
              </w:rPr>
              <w:t>1</w:t>
            </w:r>
            <w:r w:rsidRPr="00870A33">
              <w:rPr>
                <w:bCs/>
                <w:sz w:val="24"/>
                <w:szCs w:val="24"/>
              </w:rPr>
              <w:fldChar w:fldCharType="end"/>
            </w:r>
            <w:r w:rsidRPr="00870A33">
              <w:t xml:space="preserve"> de </w:t>
            </w:r>
            <w:r w:rsidRPr="00870A33">
              <w:rPr>
                <w:bCs/>
                <w:sz w:val="24"/>
                <w:szCs w:val="24"/>
              </w:rPr>
              <w:fldChar w:fldCharType="begin"/>
            </w:r>
            <w:r w:rsidRPr="00870A33">
              <w:rPr>
                <w:bCs/>
              </w:rPr>
              <w:instrText>NUMPAGES</w:instrText>
            </w:r>
            <w:r w:rsidRPr="00870A33">
              <w:rPr>
                <w:bCs/>
                <w:sz w:val="24"/>
                <w:szCs w:val="24"/>
              </w:rPr>
              <w:fldChar w:fldCharType="separate"/>
            </w:r>
            <w:r w:rsidR="002109AF">
              <w:rPr>
                <w:bCs/>
                <w:noProof/>
              </w:rPr>
              <w:t>9</w:t>
            </w:r>
            <w:r w:rsidRPr="00870A33">
              <w:rPr>
                <w:bCs/>
                <w:sz w:val="24"/>
                <w:szCs w:val="24"/>
              </w:rPr>
              <w:fldChar w:fldCharType="end"/>
            </w:r>
          </w:p>
        </w:sdtContent>
      </w:sdt>
    </w:sdtContent>
  </w:sdt>
  <w:p w:rsidR="001B3AAF" w:rsidRPr="001C3E6C" w:rsidRDefault="001B3AAF" w:rsidP="001C3E6C">
    <w:pPr>
      <w:pStyle w:val="Piedepgina"/>
      <w:ind w:left="-4536"/>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B7" w:rsidRDefault="00FD2BB7" w:rsidP="00E46243">
    <w:pPr>
      <w:pStyle w:val="Piedepgina"/>
      <w:tabs>
        <w:tab w:val="clear" w:pos="9071"/>
      </w:tabs>
      <w:jc w:val="center"/>
      <w:rPr>
        <w:sz w:val="13"/>
      </w:rPr>
    </w:pPr>
    <w:r>
      <w:rPr>
        <w:sz w:val="13"/>
      </w:rPr>
      <w:t>Donostia – San Sebastián, 1  –  01010 VITORIA-GASTEIZ</w:t>
    </w:r>
  </w:p>
  <w:p w:rsidR="00FD2BB7" w:rsidRPr="00EB0178" w:rsidRDefault="00FD2BB7" w:rsidP="00E46243">
    <w:pPr>
      <w:pStyle w:val="Piedepgina"/>
      <w:tabs>
        <w:tab w:val="clear" w:pos="9071"/>
      </w:tabs>
      <w:jc w:val="center"/>
      <w:rPr>
        <w:sz w:val="13"/>
      </w:rPr>
    </w:pPr>
    <w:r w:rsidRPr="00EB0178">
      <w:rPr>
        <w:sz w:val="13"/>
      </w:rPr>
      <w:t>Tef. 945 018171 – Fax 945 019127 – e-mail regimenlocal@ej-gv.es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1A7" w:rsidRDefault="009361A7">
      <w:r>
        <w:separator/>
      </w:r>
    </w:p>
  </w:footnote>
  <w:footnote w:type="continuationSeparator" w:id="0">
    <w:p w:rsidR="009361A7" w:rsidRDefault="0093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B7" w:rsidRDefault="00FD2BB7">
    <w:pPr>
      <w:pStyle w:val="Encabezado"/>
      <w:jc w:val="center"/>
    </w:pPr>
  </w:p>
  <w:p w:rsidR="00FD2BB7" w:rsidRDefault="00FD2BB7">
    <w:pPr>
      <w:pStyle w:val="Encabezado"/>
    </w:pPr>
    <w:r>
      <w:rPr>
        <w:noProof/>
        <w:lang w:eastAsia="es-ES"/>
      </w:rPr>
      <mc:AlternateContent>
        <mc:Choice Requires="wps">
          <w:drawing>
            <wp:anchor distT="0" distB="0" distL="114300" distR="114300" simplePos="0" relativeHeight="251658240" behindDoc="0" locked="0" layoutInCell="0" allowOverlap="1">
              <wp:simplePos x="0" y="0"/>
              <wp:positionH relativeFrom="page">
                <wp:posOffset>2451735</wp:posOffset>
              </wp:positionH>
              <wp:positionV relativeFrom="page">
                <wp:posOffset>802640</wp:posOffset>
              </wp:positionV>
              <wp:extent cx="1190625" cy="442595"/>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B7" w:rsidRDefault="00FD2BB7" w:rsidP="009426D1">
                          <w:pPr>
                            <w:pStyle w:val="Ttulo2"/>
                            <w:spacing w:after="35"/>
                            <w:rPr>
                              <w:lang w:val="pt-BR"/>
                            </w:rPr>
                          </w:pPr>
                          <w:r w:rsidRPr="00010B52">
                            <w:rPr>
                              <w:lang w:val="pt-BR"/>
                            </w:rPr>
                            <w:t>HERRI ADMINISTRAZIO</w:t>
                          </w:r>
                        </w:p>
                        <w:p w:rsidR="00FD2BB7" w:rsidRPr="00010B52" w:rsidRDefault="00FD2BB7" w:rsidP="009426D1">
                          <w:pPr>
                            <w:pStyle w:val="Ttulo2"/>
                            <w:spacing w:after="35"/>
                            <w:rPr>
                              <w:lang w:val="pt-BR"/>
                            </w:rPr>
                          </w:pPr>
                          <w:r>
                            <w:rPr>
                              <w:lang w:val="pt-BR"/>
                            </w:rPr>
                            <w:t xml:space="preserve">ETA JUSTIZIA </w:t>
                          </w:r>
                          <w:r w:rsidRPr="00010B52">
                            <w:rPr>
                              <w:lang w:val="pt-BR"/>
                            </w:rPr>
                            <w:t>SAILA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3.05pt;margin-top:63.2pt;width:93.75pt;height:34.8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" o:allowincell="f" filled="f" stroked="f">
              <v:textbox style="mso-fit-shape-to-text:t">
                <w:txbxContent>
                  <w:p w:rsidR="00FD2BB7" w:rsidRDefault="00FD2BB7" w:rsidP="009426D1">
                    <w:pPr>
                      <w:pStyle w:val="Ttulo2"/>
                      <w:spacing w:after="35"/>
                      <w:rPr>
                        <w:lang w:val="pt-BR"/>
                      </w:rPr>
                    </w:pPr>
                    <w:r w:rsidRPr="00010B52">
                      <w:rPr>
                        <w:lang w:val="pt-BR"/>
                      </w:rPr>
                      <w:t>HERRI ADMINISTRAZIO</w:t>
                    </w:r>
                  </w:p>
                  <w:p w:rsidR="00FD2BB7" w:rsidRPr="00010B52" w:rsidRDefault="00FD2BB7" w:rsidP="009426D1">
                    <w:pPr>
                      <w:pStyle w:val="Ttulo2"/>
                      <w:spacing w:after="35"/>
                      <w:rPr>
                        <w:lang w:val="pt-BR"/>
                      </w:rPr>
                    </w:pPr>
                    <w:r>
                      <w:rPr>
                        <w:lang w:val="pt-BR"/>
                      </w:rPr>
                      <w:t xml:space="preserve">ETA JUSTIZIA </w:t>
                    </w:r>
                    <w:r w:rsidRPr="00010B52">
                      <w:rPr>
                        <w:lang w:val="pt-BR"/>
                      </w:rPr>
                      <w:t>SAILA</w:t>
                    </w:r>
                  </w:p>
                </w:txbxContent>
              </v:textbox>
              <w10:wrap type="square" anchorx="page" anchory="page"/>
            </v:shape>
          </w:pict>
        </mc:Fallback>
      </mc:AlternateContent>
    </w:r>
    <w:r>
      <w:rPr>
        <w:noProof/>
        <w:lang w:eastAsia="es-ES"/>
      </w:rPr>
      <mc:AlternateContent>
        <mc:Choice Requires="wps">
          <w:drawing>
            <wp:anchor distT="0" distB="0" distL="114300" distR="114300" simplePos="0" relativeHeight="251659264" behindDoc="0" locked="0" layoutInCell="0" allowOverlap="1">
              <wp:simplePos x="0" y="0"/>
              <wp:positionH relativeFrom="page">
                <wp:posOffset>3823335</wp:posOffset>
              </wp:positionH>
              <wp:positionV relativeFrom="page">
                <wp:posOffset>802640</wp:posOffset>
              </wp:positionV>
              <wp:extent cx="2057400" cy="655320"/>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B7" w:rsidRDefault="00FD2BB7" w:rsidP="009426D1">
                          <w:pPr>
                            <w:pStyle w:val="Ttulo2"/>
                            <w:spacing w:after="35"/>
                          </w:pPr>
                          <w:r>
                            <w:t>DEPARTAMENTO DE ADMINISTRACIÓN PÚBLICA Y JUSTICIA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01.05pt;margin-top:63.2pt;width:162pt;height:5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mBuQIAAMA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" o:allowincell="f" filled="f" stroked="f">
              <v:textbox>
                <w:txbxContent>
                  <w:p w:rsidR="00FD2BB7" w:rsidRDefault="00FD2BB7" w:rsidP="009426D1">
                    <w:pPr>
                      <w:pStyle w:val="Ttulo2"/>
                      <w:spacing w:after="35"/>
                    </w:pPr>
                    <w:r>
                      <w:t>DEPARTAMENTO DE ADMINISTRACIÓN PÚBLICA Y JUSTICIA</w:t>
                    </w:r>
                  </w:p>
                </w:txbxContent>
              </v:textbox>
              <w10:wrap type="square" anchorx="page" anchory="page"/>
            </v:shape>
          </w:pict>
        </mc:Fallback>
      </mc:AlternateContent>
    </w:r>
  </w:p>
  <w:p w:rsidR="00FD2BB7" w:rsidRDefault="00FD2BB7">
    <w:pPr>
      <w:pStyle w:val="Encabezado"/>
    </w:pPr>
  </w:p>
  <w:p w:rsidR="00FD2BB7" w:rsidRDefault="00FD2B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B7" w:rsidRDefault="001C3E6C" w:rsidP="001C3E6C">
    <w:pPr>
      <w:pStyle w:val="Encabezado"/>
      <w:tabs>
        <w:tab w:val="right" w:pos="9923"/>
      </w:tabs>
      <w:ind w:left="-1418" w:right="991"/>
      <w:jc w:val="center"/>
      <w:rPr>
        <w:rFonts w:ascii="Arial" w:hAnsi="Arial"/>
        <w:sz w:val="16"/>
      </w:rPr>
    </w:pPr>
    <w:r>
      <w:rPr>
        <w:rFonts w:ascii="Arial" w:hAnsi="Arial"/>
        <w:noProof/>
        <w:sz w:val="16"/>
        <w:lang w:eastAsia="es-ES"/>
      </w:rPr>
      <w:drawing>
        <wp:inline distT="0" distB="0" distL="0" distR="0">
          <wp:extent cx="3254400" cy="1371017"/>
          <wp:effectExtent l="0" t="0" r="3175"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elehendakari.png"/>
                  <pic:cNvPicPr/>
                </pic:nvPicPr>
                <pic:blipFill>
                  <a:blip r:embed="rId1">
                    <a:extLst>
                      <a:ext uri="{28A0092B-C50C-407E-A947-70E740481C1C}">
                        <a14:useLocalDpi xmlns:a14="http://schemas.microsoft.com/office/drawing/2010/main" val="0"/>
                      </a:ext>
                    </a:extLst>
                  </a:blip>
                  <a:stretch>
                    <a:fillRect/>
                  </a:stretch>
                </pic:blipFill>
                <pic:spPr>
                  <a:xfrm>
                    <a:off x="0" y="0"/>
                    <a:ext cx="3254400" cy="13710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B7" w:rsidRDefault="001C3E6C" w:rsidP="001C3E6C">
    <w:pPr>
      <w:pStyle w:val="Encabezado"/>
      <w:jc w:val="center"/>
    </w:pPr>
    <w:r>
      <w:rPr>
        <w:noProof/>
        <w:lang w:eastAsia="es-ES"/>
      </w:rPr>
      <w:drawing>
        <wp:inline distT="0" distB="0" distL="0" distR="0">
          <wp:extent cx="1280163" cy="102413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icelehendakari2.png"/>
                  <pic:cNvPicPr/>
                </pic:nvPicPr>
                <pic:blipFill>
                  <a:blip r:embed="rId1">
                    <a:extLst>
                      <a:ext uri="{28A0092B-C50C-407E-A947-70E740481C1C}">
                        <a14:useLocalDpi xmlns:a14="http://schemas.microsoft.com/office/drawing/2010/main" val="0"/>
                      </a:ext>
                    </a:extLst>
                  </a:blip>
                  <a:stretch>
                    <a:fillRect/>
                  </a:stretch>
                </pic:blipFill>
                <pic:spPr>
                  <a:xfrm>
                    <a:off x="0" y="0"/>
                    <a:ext cx="1280163" cy="10241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B7" w:rsidRDefault="00FD2BB7">
    <w:pPr>
      <w:pStyle w:val="Encabezado"/>
      <w:tabs>
        <w:tab w:val="right" w:pos="9923"/>
      </w:tabs>
      <w:ind w:right="-142"/>
      <w:jc w:val="center"/>
      <w:rPr>
        <w:sz w:val="16"/>
      </w:rPr>
    </w:pPr>
    <w:r>
      <w:rPr>
        <w:noProof/>
        <w:sz w:val="16"/>
        <w:lang w:eastAsia="es-ES"/>
      </w:rPr>
      <mc:AlternateContent>
        <mc:Choice Requires="wps">
          <w:drawing>
            <wp:anchor distT="0" distB="0" distL="114300" distR="114300" simplePos="0" relativeHeight="251661312" behindDoc="0" locked="0" layoutInCell="1" allowOverlap="1">
              <wp:simplePos x="0" y="0"/>
              <wp:positionH relativeFrom="page">
                <wp:posOffset>1588135</wp:posOffset>
              </wp:positionH>
              <wp:positionV relativeFrom="page">
                <wp:posOffset>880745</wp:posOffset>
              </wp:positionV>
              <wp:extent cx="2211070" cy="490855"/>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B7" w:rsidRPr="009B1A96" w:rsidRDefault="00FD2BB7" w:rsidP="00E46243">
                          <w:pPr>
                            <w:pStyle w:val="Ttulo2"/>
                            <w:spacing w:after="35"/>
                            <w:rPr>
                              <w:lang w:val="pt-BR"/>
                            </w:rPr>
                          </w:pPr>
                          <w:r w:rsidRPr="00543F79">
                            <w:t>HERRI ADMINISTRAZIO ETA JUSTIZIA</w:t>
                          </w:r>
                          <w:r w:rsidRPr="00543F79">
                            <w:br/>
                            <w:t>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125.05pt;margin-top:69.35pt;width:174.1pt;height:38.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rn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7R3FZnHHQGTncDuJk9HEOXHVM93Mrqm0ZCLlsqNuxaKTm2jNaQXWhv+mdX&#10;JxxtQdbjR1lDGLo10gHtG9Xb0kExEKBDlx5OnbGpVHAYRWEYzMFUgY2kQRL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" filled="f" stroked="f">
              <v:textbox>
                <w:txbxContent>
                  <w:p w:rsidR="00FD2BB7" w:rsidRPr="009B1A96" w:rsidRDefault="00FD2BB7" w:rsidP="00E46243">
                    <w:pPr>
                      <w:pStyle w:val="Ttulo2"/>
                      <w:spacing w:after="35"/>
                      <w:rPr>
                        <w:lang w:val="pt-BR"/>
                      </w:rPr>
                    </w:pPr>
                    <w:r w:rsidRPr="00543F79">
                      <w:t>HERRI ADMINISTRAZIO ETA JUSTIZIA</w:t>
                    </w:r>
                    <w:r w:rsidRPr="00543F79">
                      <w:br/>
                      <w:t>SAILA</w:t>
                    </w:r>
                  </w:p>
                </w:txbxContent>
              </v:textbox>
              <w10:wrap type="square" anchorx="page" anchory="page"/>
            </v:shape>
          </w:pict>
        </mc:Fallback>
      </mc:AlternateContent>
    </w:r>
    <w:r>
      <w:rPr>
        <w:noProof/>
        <w:lang w:eastAsia="es-ES"/>
      </w:rPr>
      <mc:AlternateContent>
        <mc:Choice Requires="wps">
          <w:drawing>
            <wp:anchor distT="0" distB="0" distL="114300" distR="114300" simplePos="0" relativeHeight="251662336" behindDoc="0" locked="0" layoutInCell="1" allowOverlap="1">
              <wp:simplePos x="0" y="0"/>
              <wp:positionH relativeFrom="page">
                <wp:posOffset>4064635</wp:posOffset>
              </wp:positionH>
              <wp:positionV relativeFrom="page">
                <wp:posOffset>880745</wp:posOffset>
              </wp:positionV>
              <wp:extent cx="2413000" cy="445135"/>
              <wp:effectExtent l="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BB7" w:rsidRDefault="00FD2BB7">
                          <w:pPr>
                            <w:pStyle w:val="Ttulo2"/>
                            <w:spacing w:after="35"/>
                          </w:pPr>
                          <w:r w:rsidRPr="00543F79">
                            <w:t>DEPARTAMENTO DE ADMINISTRACIÓN</w:t>
                          </w:r>
                          <w:r w:rsidRPr="00543F79">
                            <w:br/>
                            <w:t>PÚBLICA Y JUSTICIA</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20.05pt;margin-top:69.35pt;width:190pt;height:3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" filled="f" stroked="f">
              <v:textbox>
                <w:txbxContent>
                  <w:p w:rsidR="00FD2BB7" w:rsidRDefault="00FD2BB7">
                    <w:pPr>
                      <w:pStyle w:val="Ttulo2"/>
                      <w:spacing w:after="35"/>
                    </w:pPr>
                    <w:r w:rsidRPr="00543F79">
                      <w:t>DEPARTAMENTO DE ADMINISTRACIÓN</w:t>
                    </w:r>
                    <w:r w:rsidRPr="00543F79">
                      <w:br/>
                      <w:t>PÚBLICA Y JUSTICIA</w:t>
                    </w:r>
                    <w:r>
                      <w:t xml:space="preserve"> </w:t>
                    </w:r>
                  </w:p>
                </w:txbxContent>
              </v:textbox>
              <w10:wrap type="square" anchorx="page" anchory="page"/>
            </v:shape>
          </w:pict>
        </mc:Fallback>
      </mc:AlternateContent>
    </w:r>
    <w:r>
      <w:rPr>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45pt;height:36.9pt" fillcolor="window">
          <v:imagedata r:id="rId1" o:title=""/>
        </v:shape>
        <o:OLEObject Type="Embed" ProgID="MSPhotoEd.3" ShapeID="_x0000_i1025" DrawAspect="Content" ObjectID="_1727858640" r:id="rId2"/>
      </w:object>
    </w:r>
  </w:p>
  <w:p w:rsidR="00FD2BB7" w:rsidRDefault="00FD2BB7">
    <w:pPr>
      <w:pStyle w:val="Encabezado"/>
      <w:tabs>
        <w:tab w:val="right" w:pos="9923"/>
      </w:tabs>
      <w:ind w:right="-142"/>
      <w:jc w:val="center"/>
      <w:rPr>
        <w:sz w:val="16"/>
      </w:rPr>
    </w:pPr>
  </w:p>
  <w:p w:rsidR="00FD2BB7" w:rsidRDefault="00FD2BB7" w:rsidP="00E46243">
    <w:pPr>
      <w:pStyle w:val="Encabezado"/>
      <w:tabs>
        <w:tab w:val="right" w:pos="9923"/>
      </w:tabs>
      <w:ind w:right="-142"/>
      <w:jc w:val="center"/>
      <w:rPr>
        <w:sz w:val="16"/>
      </w:rPr>
    </w:pPr>
  </w:p>
  <w:p w:rsidR="00FD2BB7" w:rsidRDefault="00FD2BB7" w:rsidP="00E46243">
    <w:pPr>
      <w:pStyle w:val="Encabezado"/>
      <w:tabs>
        <w:tab w:val="right" w:pos="9923"/>
      </w:tabs>
      <w:ind w:right="-142"/>
      <w:jc w:val="center"/>
      <w:rPr>
        <w:sz w:val="16"/>
      </w:rPr>
    </w:pPr>
  </w:p>
  <w:p w:rsidR="00FD2BB7" w:rsidRDefault="00FD2BB7" w:rsidP="00E46243">
    <w:pPr>
      <w:pStyle w:val="Encabezado"/>
      <w:tabs>
        <w:tab w:val="right" w:pos="9923"/>
      </w:tabs>
      <w:ind w:right="-142"/>
      <w:jc w:val="center"/>
      <w:rPr>
        <w:sz w:val="16"/>
      </w:rPr>
    </w:pPr>
  </w:p>
  <w:p w:rsidR="00FD2BB7" w:rsidRDefault="00FD2BB7" w:rsidP="00E46243">
    <w:pPr>
      <w:pStyle w:val="Encabezado"/>
      <w:tabs>
        <w:tab w:val="right" w:pos="9923"/>
      </w:tabs>
      <w:ind w:right="-142"/>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13D74"/>
    <w:multiLevelType w:val="multilevel"/>
    <w:tmpl w:val="B1EC5984"/>
    <w:lvl w:ilvl="0">
      <w:start w:val="1"/>
      <w:numFmt w:val="decimal"/>
      <w:lvlText w:val="%1."/>
      <w:lvlJc w:val="left"/>
      <w:pPr>
        <w:ind w:left="360" w:hanging="360"/>
      </w:pPr>
      <w:rPr>
        <w:rFonts w:ascii="Arial" w:hAnsi="Arial"/>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2F1C42"/>
    <w:multiLevelType w:val="multilevel"/>
    <w:tmpl w:val="6B762DDE"/>
    <w:lvl w:ilvl="0">
      <w:start w:val="1"/>
      <w:numFmt w:val="lowerLetter"/>
      <w:lvlText w:val="%1)"/>
      <w:lvlJc w:val="left"/>
      <w:pPr>
        <w:ind w:left="1270" w:hanging="360"/>
      </w:pPr>
    </w:lvl>
    <w:lvl w:ilvl="1">
      <w:start w:val="1"/>
      <w:numFmt w:val="lowerLetter"/>
      <w:lvlText w:val="%2."/>
      <w:lvlJc w:val="left"/>
      <w:pPr>
        <w:ind w:left="1990" w:hanging="360"/>
      </w:pPr>
    </w:lvl>
    <w:lvl w:ilvl="2">
      <w:start w:val="1"/>
      <w:numFmt w:val="lowerRoman"/>
      <w:lvlText w:val="%3."/>
      <w:lvlJc w:val="right"/>
      <w:pPr>
        <w:ind w:left="2710" w:hanging="180"/>
      </w:pPr>
    </w:lvl>
    <w:lvl w:ilvl="3">
      <w:start w:val="1"/>
      <w:numFmt w:val="decimal"/>
      <w:lvlText w:val="%4."/>
      <w:lvlJc w:val="left"/>
      <w:pPr>
        <w:ind w:left="3430" w:hanging="360"/>
      </w:pPr>
    </w:lvl>
    <w:lvl w:ilvl="4">
      <w:start w:val="1"/>
      <w:numFmt w:val="lowerLetter"/>
      <w:lvlText w:val="%5."/>
      <w:lvlJc w:val="left"/>
      <w:pPr>
        <w:ind w:left="4150" w:hanging="360"/>
      </w:pPr>
    </w:lvl>
    <w:lvl w:ilvl="5">
      <w:start w:val="1"/>
      <w:numFmt w:val="lowerRoman"/>
      <w:lvlText w:val="%6."/>
      <w:lvlJc w:val="right"/>
      <w:pPr>
        <w:ind w:left="4870" w:hanging="180"/>
      </w:pPr>
    </w:lvl>
    <w:lvl w:ilvl="6">
      <w:start w:val="1"/>
      <w:numFmt w:val="decimal"/>
      <w:lvlText w:val="%7."/>
      <w:lvlJc w:val="left"/>
      <w:pPr>
        <w:ind w:left="5590" w:hanging="360"/>
      </w:pPr>
    </w:lvl>
    <w:lvl w:ilvl="7">
      <w:start w:val="1"/>
      <w:numFmt w:val="lowerLetter"/>
      <w:lvlText w:val="%8."/>
      <w:lvlJc w:val="left"/>
      <w:pPr>
        <w:ind w:left="6310" w:hanging="360"/>
      </w:pPr>
    </w:lvl>
    <w:lvl w:ilvl="8">
      <w:start w:val="1"/>
      <w:numFmt w:val="lowerRoman"/>
      <w:lvlText w:val="%9."/>
      <w:lvlJc w:val="right"/>
      <w:pPr>
        <w:ind w:left="7030" w:hanging="180"/>
      </w:pPr>
    </w:lvl>
  </w:abstractNum>
  <w:abstractNum w:abstractNumId="2" w15:restartNumberingAfterBreak="0">
    <w:nsid w:val="50807618"/>
    <w:multiLevelType w:val="hybridMultilevel"/>
    <w:tmpl w:val="BAD898F8"/>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813C59"/>
    <w:multiLevelType w:val="hybridMultilevel"/>
    <w:tmpl w:val="84589754"/>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6491F70"/>
    <w:multiLevelType w:val="hybridMultilevel"/>
    <w:tmpl w:val="254AD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16"/>
    <w:rsid w:val="000147FF"/>
    <w:rsid w:val="00024F01"/>
    <w:rsid w:val="00045B9A"/>
    <w:rsid w:val="00050297"/>
    <w:rsid w:val="00072ED1"/>
    <w:rsid w:val="00080FD6"/>
    <w:rsid w:val="000B3890"/>
    <w:rsid w:val="000E5A49"/>
    <w:rsid w:val="000F4DC6"/>
    <w:rsid w:val="000F6739"/>
    <w:rsid w:val="000F77BB"/>
    <w:rsid w:val="0013182F"/>
    <w:rsid w:val="001578F6"/>
    <w:rsid w:val="00162426"/>
    <w:rsid w:val="00163584"/>
    <w:rsid w:val="00197CE1"/>
    <w:rsid w:val="001B3AAF"/>
    <w:rsid w:val="001B61F5"/>
    <w:rsid w:val="001C0B51"/>
    <w:rsid w:val="001C2A96"/>
    <w:rsid w:val="001C3E6C"/>
    <w:rsid w:val="001D4F8F"/>
    <w:rsid w:val="001D60B7"/>
    <w:rsid w:val="001E0640"/>
    <w:rsid w:val="001E29BA"/>
    <w:rsid w:val="002109AF"/>
    <w:rsid w:val="00213009"/>
    <w:rsid w:val="00226625"/>
    <w:rsid w:val="00234802"/>
    <w:rsid w:val="002544F7"/>
    <w:rsid w:val="00265202"/>
    <w:rsid w:val="00266303"/>
    <w:rsid w:val="002778B5"/>
    <w:rsid w:val="002903A0"/>
    <w:rsid w:val="002A3307"/>
    <w:rsid w:val="002B0B04"/>
    <w:rsid w:val="002E666A"/>
    <w:rsid w:val="0031403F"/>
    <w:rsid w:val="00335B3C"/>
    <w:rsid w:val="00341D29"/>
    <w:rsid w:val="00376B26"/>
    <w:rsid w:val="003C5962"/>
    <w:rsid w:val="003D1502"/>
    <w:rsid w:val="003E28AE"/>
    <w:rsid w:val="00405917"/>
    <w:rsid w:val="004142F4"/>
    <w:rsid w:val="004167A0"/>
    <w:rsid w:val="004175AE"/>
    <w:rsid w:val="00432A6A"/>
    <w:rsid w:val="00451F7B"/>
    <w:rsid w:val="00464937"/>
    <w:rsid w:val="00466614"/>
    <w:rsid w:val="004678BC"/>
    <w:rsid w:val="004748F6"/>
    <w:rsid w:val="004C21BB"/>
    <w:rsid w:val="004F4934"/>
    <w:rsid w:val="004F6784"/>
    <w:rsid w:val="00506479"/>
    <w:rsid w:val="00545021"/>
    <w:rsid w:val="00580985"/>
    <w:rsid w:val="005810AD"/>
    <w:rsid w:val="00581205"/>
    <w:rsid w:val="00587125"/>
    <w:rsid w:val="005A4B78"/>
    <w:rsid w:val="005A6435"/>
    <w:rsid w:val="005C611C"/>
    <w:rsid w:val="005D1225"/>
    <w:rsid w:val="0061732C"/>
    <w:rsid w:val="00623497"/>
    <w:rsid w:val="00627916"/>
    <w:rsid w:val="006575BE"/>
    <w:rsid w:val="00673219"/>
    <w:rsid w:val="0067404D"/>
    <w:rsid w:val="006860FF"/>
    <w:rsid w:val="006A159B"/>
    <w:rsid w:val="006B43C5"/>
    <w:rsid w:val="006C5B98"/>
    <w:rsid w:val="006E7136"/>
    <w:rsid w:val="006F3DDF"/>
    <w:rsid w:val="00703E72"/>
    <w:rsid w:val="00705FC2"/>
    <w:rsid w:val="0071339D"/>
    <w:rsid w:val="00754B96"/>
    <w:rsid w:val="0078101B"/>
    <w:rsid w:val="00786497"/>
    <w:rsid w:val="00786989"/>
    <w:rsid w:val="007D49EC"/>
    <w:rsid w:val="007F2793"/>
    <w:rsid w:val="008039CE"/>
    <w:rsid w:val="0081266D"/>
    <w:rsid w:val="008130EC"/>
    <w:rsid w:val="0082541D"/>
    <w:rsid w:val="00831A1E"/>
    <w:rsid w:val="00835C69"/>
    <w:rsid w:val="00870A33"/>
    <w:rsid w:val="008D4920"/>
    <w:rsid w:val="008E4F7D"/>
    <w:rsid w:val="008F0F9D"/>
    <w:rsid w:val="008F758C"/>
    <w:rsid w:val="0090532C"/>
    <w:rsid w:val="00924A1C"/>
    <w:rsid w:val="00926311"/>
    <w:rsid w:val="00926BD1"/>
    <w:rsid w:val="009326B4"/>
    <w:rsid w:val="009361A7"/>
    <w:rsid w:val="00940437"/>
    <w:rsid w:val="009426D1"/>
    <w:rsid w:val="009475D4"/>
    <w:rsid w:val="00963582"/>
    <w:rsid w:val="009A3790"/>
    <w:rsid w:val="009B6E0C"/>
    <w:rsid w:val="009F24F9"/>
    <w:rsid w:val="009F2AE0"/>
    <w:rsid w:val="00A0269F"/>
    <w:rsid w:val="00A40A28"/>
    <w:rsid w:val="00A52D58"/>
    <w:rsid w:val="00A548A7"/>
    <w:rsid w:val="00A55C6C"/>
    <w:rsid w:val="00A73A29"/>
    <w:rsid w:val="00A830EA"/>
    <w:rsid w:val="00A85E8D"/>
    <w:rsid w:val="00A937E2"/>
    <w:rsid w:val="00AA5A54"/>
    <w:rsid w:val="00AB2145"/>
    <w:rsid w:val="00AC4F6C"/>
    <w:rsid w:val="00AE25CD"/>
    <w:rsid w:val="00AE7044"/>
    <w:rsid w:val="00AF31EC"/>
    <w:rsid w:val="00AF4624"/>
    <w:rsid w:val="00AF5CFD"/>
    <w:rsid w:val="00AF7145"/>
    <w:rsid w:val="00B20095"/>
    <w:rsid w:val="00B44BEF"/>
    <w:rsid w:val="00B67102"/>
    <w:rsid w:val="00B7305A"/>
    <w:rsid w:val="00B73329"/>
    <w:rsid w:val="00BC01FE"/>
    <w:rsid w:val="00BE366C"/>
    <w:rsid w:val="00BF0B90"/>
    <w:rsid w:val="00C048FF"/>
    <w:rsid w:val="00C21232"/>
    <w:rsid w:val="00C339AD"/>
    <w:rsid w:val="00C369FC"/>
    <w:rsid w:val="00C6126B"/>
    <w:rsid w:val="00C8293A"/>
    <w:rsid w:val="00C84AED"/>
    <w:rsid w:val="00C86D91"/>
    <w:rsid w:val="00CB5033"/>
    <w:rsid w:val="00CB524E"/>
    <w:rsid w:val="00CD7B5F"/>
    <w:rsid w:val="00CE3C7E"/>
    <w:rsid w:val="00CE6F2A"/>
    <w:rsid w:val="00CF2F55"/>
    <w:rsid w:val="00D037B7"/>
    <w:rsid w:val="00D069ED"/>
    <w:rsid w:val="00D16479"/>
    <w:rsid w:val="00D3103D"/>
    <w:rsid w:val="00D316A0"/>
    <w:rsid w:val="00D718C6"/>
    <w:rsid w:val="00D81C53"/>
    <w:rsid w:val="00D84927"/>
    <w:rsid w:val="00D92CB0"/>
    <w:rsid w:val="00DC5989"/>
    <w:rsid w:val="00DD2DC3"/>
    <w:rsid w:val="00DF5904"/>
    <w:rsid w:val="00DF59E1"/>
    <w:rsid w:val="00DF64DC"/>
    <w:rsid w:val="00E41909"/>
    <w:rsid w:val="00E46243"/>
    <w:rsid w:val="00E74B35"/>
    <w:rsid w:val="00EA1BF4"/>
    <w:rsid w:val="00ED0600"/>
    <w:rsid w:val="00ED0F15"/>
    <w:rsid w:val="00EE4E16"/>
    <w:rsid w:val="00F33CFD"/>
    <w:rsid w:val="00F846C9"/>
    <w:rsid w:val="00F9246F"/>
    <w:rsid w:val="00FB2142"/>
    <w:rsid w:val="00FC037A"/>
    <w:rsid w:val="00FC2E4C"/>
    <w:rsid w:val="00FD1F28"/>
    <w:rsid w:val="00FD2BB7"/>
    <w:rsid w:val="00FE28AE"/>
    <w:rsid w:val="00FE2FD0"/>
    <w:rsid w:val="00FE6C72"/>
    <w:rsid w:val="00FF66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61EAD"/>
  <w15:docId w15:val="{7422400D-6078-4A17-A53D-C9C45AD3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05A"/>
    <w:rPr>
      <w:lang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link w:val="Ttulo2Car"/>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3">
    <w:name w:val="Body Text 3"/>
    <w:basedOn w:val="Normal"/>
    <w:rsid w:val="00B7305A"/>
    <w:pPr>
      <w:jc w:val="both"/>
    </w:pPr>
    <w:rPr>
      <w:b/>
      <w:sz w:val="24"/>
    </w:rPr>
  </w:style>
  <w:style w:type="paragraph" w:customStyle="1" w:styleId="Blockquote">
    <w:name w:val="Blockquote"/>
    <w:basedOn w:val="Normal"/>
    <w:rsid w:val="00B7305A"/>
    <w:pPr>
      <w:spacing w:before="100" w:after="100"/>
      <w:ind w:left="360" w:right="360"/>
    </w:pPr>
    <w:rPr>
      <w:snapToGrid w:val="0"/>
      <w:sz w:val="24"/>
      <w:lang w:val="es-ES_tradnl" w:eastAsia="es-ES"/>
    </w:rPr>
  </w:style>
  <w:style w:type="paragraph" w:styleId="Textodeglobo">
    <w:name w:val="Balloon Text"/>
    <w:basedOn w:val="Normal"/>
    <w:semiHidden/>
    <w:rsid w:val="004748F6"/>
    <w:rPr>
      <w:rFonts w:ascii="Tahoma" w:hAnsi="Tahoma" w:cs="Tahoma"/>
      <w:sz w:val="16"/>
      <w:szCs w:val="16"/>
    </w:rPr>
  </w:style>
  <w:style w:type="paragraph" w:customStyle="1" w:styleId="Default">
    <w:name w:val="Default"/>
    <w:rsid w:val="00045B9A"/>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8F758C"/>
    <w:rPr>
      <w:rFonts w:ascii="Arial" w:hAnsi="Arial"/>
      <w:b/>
      <w:sz w:val="14"/>
      <w:lang w:eastAsia="es-ES_tradnl"/>
    </w:rPr>
  </w:style>
  <w:style w:type="character" w:styleId="Textoennegrita">
    <w:name w:val="Strong"/>
    <w:basedOn w:val="Fuentedeprrafopredeter"/>
    <w:uiPriority w:val="22"/>
    <w:qFormat/>
    <w:rsid w:val="00627916"/>
    <w:rPr>
      <w:b/>
      <w:bCs/>
    </w:rPr>
  </w:style>
  <w:style w:type="paragraph" w:styleId="Prrafodelista">
    <w:name w:val="List Paragraph"/>
    <w:basedOn w:val="Normal"/>
    <w:uiPriority w:val="34"/>
    <w:qFormat/>
    <w:rsid w:val="00627916"/>
    <w:pPr>
      <w:ind w:left="720"/>
      <w:contextualSpacing/>
    </w:pPr>
    <w:rPr>
      <w:lang w:eastAsia="en-US"/>
    </w:rPr>
  </w:style>
  <w:style w:type="character" w:styleId="nfasis">
    <w:name w:val="Emphasis"/>
    <w:basedOn w:val="Fuentedeprrafopredeter"/>
    <w:uiPriority w:val="20"/>
    <w:qFormat/>
    <w:rsid w:val="001B61F5"/>
    <w:rPr>
      <w:i/>
      <w:iCs/>
    </w:rPr>
  </w:style>
  <w:style w:type="character" w:customStyle="1" w:styleId="PiedepginaCar">
    <w:name w:val="Pie de página Car"/>
    <w:basedOn w:val="Fuentedeprrafopredeter"/>
    <w:link w:val="Piedepgina"/>
    <w:uiPriority w:val="99"/>
    <w:rsid w:val="00870A33"/>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Plantillas\PLANTILLAS%20DEPARTAMENTO\Plantilla_vicelehendakar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F785-E775-4562-A5FA-763D87FC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Plantilla_vicelehendakari.dotx</Template>
  <TotalTime>659</TotalTime>
  <Pages>9</Pages>
  <Words>3224</Words>
  <Characters>17736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Ispizua Zuazua, Alfredo</dc:creator>
  <dc:description>Plantilla para crear documentos y cartas con  arreglo a las recomendaciones del Manual de Identidad Corporativa</dc:description>
  <cp:lastModifiedBy>Ispizua Zuazua, Alfredo</cp:lastModifiedBy>
  <cp:revision>17</cp:revision>
  <cp:lastPrinted>2022-10-06T07:57:00Z</cp:lastPrinted>
  <dcterms:created xsi:type="dcterms:W3CDTF">2022-09-07T08:47:00Z</dcterms:created>
  <dcterms:modified xsi:type="dcterms:W3CDTF">2022-10-21T09:58:00Z</dcterms:modified>
</cp:coreProperties>
</file>